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CB6F" w14:textId="77777777" w:rsidR="00500E53" w:rsidRDefault="00500E53" w:rsidP="006265BA">
      <w:pPr>
        <w:overflowPunct w:val="0"/>
        <w:autoSpaceDE w:val="0"/>
        <w:autoSpaceDN w:val="0"/>
        <w:adjustRightInd w:val="0"/>
        <w:snapToGrid w:val="0"/>
        <w:spacing w:line="247" w:lineRule="auto"/>
        <w:rPr>
          <w:rFonts w:ascii="Tahoma" w:hAnsi="Tahoma" w:cs="Tahoma"/>
          <w:sz w:val="22"/>
          <w:szCs w:val="22"/>
          <w:lang w:eastAsia="zh-CN"/>
        </w:rPr>
      </w:pPr>
    </w:p>
    <w:p w14:paraId="0045522C" w14:textId="77777777" w:rsidR="009009B1" w:rsidRPr="001D5EF3" w:rsidRDefault="004C2838" w:rsidP="00E27D96">
      <w:pPr>
        <w:pStyle w:val="Af3"/>
        <w:spacing w:after="360"/>
        <w:rPr>
          <w:lang w:eastAsia="zh-CN"/>
        </w:rPr>
      </w:pPr>
      <w:r w:rsidRPr="004C2838">
        <w:t>Paper Title</w:t>
      </w:r>
    </w:p>
    <w:p w14:paraId="7E6E045F" w14:textId="77777777" w:rsidR="00061E7E" w:rsidRPr="001D5EF3" w:rsidRDefault="0096631F" w:rsidP="00C70031">
      <w:pPr>
        <w:overflowPunct w:val="0"/>
        <w:spacing w:afterLines="100" w:after="240"/>
        <w:jc w:val="left"/>
        <w:rPr>
          <w:rFonts w:asciiTheme="majorHAnsi" w:hAnsiTheme="majorHAnsi"/>
          <w:b/>
          <w:sz w:val="22"/>
          <w:szCs w:val="22"/>
          <w:vertAlign w:val="superscript"/>
          <w:lang w:eastAsia="zh-CN"/>
        </w:rPr>
      </w:pPr>
      <w:r w:rsidRPr="0096631F">
        <w:rPr>
          <w:rFonts w:asciiTheme="majorHAnsi" w:hAnsiTheme="majorHAnsi"/>
          <w:b/>
          <w:bCs/>
          <w:iCs/>
          <w:sz w:val="22"/>
          <w:szCs w:val="22"/>
          <w:lang w:eastAsia="zh-CN"/>
        </w:rPr>
        <w:t>Authors Name/s per 1st, Authors Name/s per 2nd</w:t>
      </w:r>
    </w:p>
    <w:p w14:paraId="5DAABF06" w14:textId="77777777" w:rsidR="008C6D3F" w:rsidRPr="0096631F" w:rsidRDefault="0096631F" w:rsidP="00A60052">
      <w:pPr>
        <w:overflowPunct w:val="0"/>
        <w:autoSpaceDE w:val="0"/>
        <w:autoSpaceDN w:val="0"/>
        <w:adjustRightInd w:val="0"/>
        <w:snapToGrid w:val="0"/>
        <w:jc w:val="left"/>
        <w:rPr>
          <w:rFonts w:ascii="Minion Pro Capt" w:hAnsi="Minion Pro Capt"/>
          <w:color w:val="000000" w:themeColor="text1"/>
          <w:lang w:eastAsia="zh-CN"/>
        </w:rPr>
      </w:pPr>
      <w:r w:rsidRPr="0096631F">
        <w:rPr>
          <w:rFonts w:ascii="Minion Pro Capt" w:hAnsi="Minion Pro Capt"/>
        </w:rPr>
        <w:t>(Affiliation): Department Name of Organization, Name of Organization, City, Country</w:t>
      </w:r>
    </w:p>
    <w:p w14:paraId="7A6F43D6" w14:textId="77777777" w:rsidR="008C6D3F" w:rsidRPr="007E5C2C" w:rsidRDefault="00D47462" w:rsidP="00C70031">
      <w:pPr>
        <w:overflowPunct w:val="0"/>
        <w:autoSpaceDE w:val="0"/>
        <w:autoSpaceDN w:val="0"/>
        <w:adjustRightInd w:val="0"/>
        <w:snapToGrid w:val="0"/>
        <w:spacing w:beforeLines="50" w:before="120"/>
        <w:ind w:rightChars="100" w:right="200"/>
        <w:rPr>
          <w:rFonts w:ascii="Minion Pro Capt" w:hAnsi="Minion Pro Capt"/>
          <w:lang w:val="en-GB" w:eastAsia="zh-CN"/>
        </w:rPr>
      </w:pPr>
      <w:r w:rsidRPr="007E5C2C">
        <w:rPr>
          <w:rFonts w:ascii="Minion Pro Capt" w:hAnsi="Minion Pro Capt"/>
          <w:b/>
          <w:bCs/>
          <w:iCs/>
          <w:lang w:val="en-GB"/>
        </w:rPr>
        <w:t xml:space="preserve">Correspondence to: </w:t>
      </w:r>
      <w:r w:rsidR="0096631F" w:rsidRPr="0096631F">
        <w:rPr>
          <w:rFonts w:ascii="Minion Pro Capt" w:hAnsi="Minion Pro Capt"/>
          <w:bCs/>
          <w:iCs/>
        </w:rPr>
        <w:t>Email: address desired (without hyperlink in E-mail)</w:t>
      </w:r>
    </w:p>
    <w:p w14:paraId="198A4FD9" w14:textId="77777777" w:rsidR="00D50EC1" w:rsidRPr="007E5C2C" w:rsidRDefault="00D50EC1" w:rsidP="00384578">
      <w:pPr>
        <w:overflowPunct w:val="0"/>
        <w:autoSpaceDE w:val="0"/>
        <w:autoSpaceDN w:val="0"/>
        <w:adjustRightInd w:val="0"/>
        <w:snapToGrid w:val="0"/>
        <w:ind w:rightChars="100" w:right="200"/>
        <w:rPr>
          <w:rFonts w:ascii="Minion Pro Capt" w:hAnsi="Minion Pro Capt"/>
          <w:bCs/>
          <w:lang w:val="en-GB" w:eastAsia="zh-CN"/>
        </w:rPr>
      </w:pPr>
      <w:r w:rsidRPr="007E5C2C">
        <w:rPr>
          <w:rFonts w:ascii="Minion Pro Capt" w:hAnsi="Minion Pro Capt"/>
          <w:b/>
          <w:bCs/>
          <w:lang w:val="tr-TR" w:eastAsia="zh-CN"/>
        </w:rPr>
        <w:t xml:space="preserve">Keywords: </w:t>
      </w:r>
      <w:r w:rsidR="0096631F" w:rsidRPr="0096631F">
        <w:rPr>
          <w:rFonts w:ascii="Minion Pro Capt" w:hAnsi="Minion Pro Capt"/>
          <w:bCs/>
        </w:rPr>
        <w:t>Component</w:t>
      </w:r>
      <w:r w:rsidR="0096631F" w:rsidRPr="0096631F">
        <w:rPr>
          <w:rFonts w:ascii="Minion Pro Capt" w:hAnsi="Minion Pro Capt" w:hint="eastAsia"/>
          <w:bCs/>
        </w:rPr>
        <w:t>,</w:t>
      </w:r>
      <w:r w:rsidR="0096631F" w:rsidRPr="0096631F">
        <w:rPr>
          <w:rFonts w:ascii="Minion Pro Capt" w:hAnsi="Minion Pro Capt"/>
          <w:bCs/>
        </w:rPr>
        <w:t xml:space="preserve"> Formatting</w:t>
      </w:r>
      <w:r w:rsidR="0096631F" w:rsidRPr="0096631F">
        <w:rPr>
          <w:rFonts w:ascii="Minion Pro Capt" w:hAnsi="Minion Pro Capt" w:hint="eastAsia"/>
          <w:bCs/>
        </w:rPr>
        <w:t>,</w:t>
      </w:r>
      <w:r w:rsidR="0096631F" w:rsidRPr="0096631F">
        <w:rPr>
          <w:rFonts w:ascii="Minion Pro Capt" w:hAnsi="Minion Pro Capt"/>
          <w:bCs/>
        </w:rPr>
        <w:t xml:space="preserve"> Style</w:t>
      </w:r>
      <w:r w:rsidR="0096631F" w:rsidRPr="0096631F">
        <w:rPr>
          <w:rFonts w:ascii="Minion Pro Capt" w:hAnsi="Minion Pro Capt" w:hint="eastAsia"/>
          <w:bCs/>
        </w:rPr>
        <w:t>,</w:t>
      </w:r>
      <w:r w:rsidR="0096631F" w:rsidRPr="0096631F">
        <w:rPr>
          <w:rFonts w:ascii="Minion Pro Capt" w:hAnsi="Minion Pro Capt"/>
          <w:bCs/>
        </w:rPr>
        <w:t xml:space="preserve"> Styling</w:t>
      </w:r>
      <w:r w:rsidR="0096631F" w:rsidRPr="0096631F">
        <w:rPr>
          <w:rFonts w:ascii="Minion Pro Capt" w:hAnsi="Minion Pro Capt" w:hint="eastAsia"/>
          <w:bCs/>
        </w:rPr>
        <w:t>,</w:t>
      </w:r>
      <w:r w:rsidR="0096631F" w:rsidRPr="0096631F">
        <w:rPr>
          <w:rFonts w:ascii="Minion Pro Capt" w:hAnsi="Minion Pro Capt"/>
          <w:bCs/>
        </w:rPr>
        <w:t xml:space="preserve"> Insert (keywords)</w:t>
      </w:r>
    </w:p>
    <w:p w14:paraId="6A25E8E8" w14:textId="77777777" w:rsidR="00D50EC1" w:rsidRPr="007E5C2C" w:rsidRDefault="00D50EC1" w:rsidP="00384578">
      <w:pPr>
        <w:overflowPunct w:val="0"/>
        <w:autoSpaceDE w:val="0"/>
        <w:autoSpaceDN w:val="0"/>
        <w:adjustRightInd w:val="0"/>
        <w:snapToGrid w:val="0"/>
        <w:ind w:rightChars="100" w:right="200"/>
        <w:rPr>
          <w:rFonts w:ascii="Minion Pro Capt" w:hAnsi="Minion Pro Capt"/>
          <w:lang w:eastAsia="zh-CN"/>
        </w:rPr>
      </w:pPr>
      <w:r w:rsidRPr="007E5C2C">
        <w:rPr>
          <w:rFonts w:ascii="Minion Pro Capt" w:hAnsi="Minion Pro Capt"/>
          <w:b/>
          <w:lang w:eastAsia="zh-CN"/>
        </w:rPr>
        <w:t>Received:</w:t>
      </w:r>
      <w:r w:rsidRPr="007E5C2C">
        <w:rPr>
          <w:rFonts w:ascii="Minion Pro Capt" w:hAnsi="Minion Pro Capt"/>
          <w:lang w:eastAsia="zh-CN"/>
        </w:rPr>
        <w:t xml:space="preserve"> **** **, ***      </w:t>
      </w:r>
      <w:r w:rsidRPr="007E5C2C">
        <w:rPr>
          <w:rFonts w:ascii="Minion Pro Capt" w:hAnsi="Minion Pro Capt"/>
          <w:b/>
          <w:lang w:eastAsia="zh-CN"/>
        </w:rPr>
        <w:t xml:space="preserve">Accepted: </w:t>
      </w:r>
      <w:r w:rsidRPr="007E5C2C">
        <w:rPr>
          <w:rFonts w:ascii="Minion Pro Capt" w:hAnsi="Minion Pro Capt"/>
          <w:lang w:eastAsia="zh-CN"/>
        </w:rPr>
        <w:t xml:space="preserve">**** **, ***      </w:t>
      </w:r>
      <w:r w:rsidRPr="007E5C2C">
        <w:rPr>
          <w:rFonts w:ascii="Minion Pro Capt" w:hAnsi="Minion Pro Capt"/>
          <w:b/>
          <w:lang w:eastAsia="zh-CN"/>
        </w:rPr>
        <w:t xml:space="preserve">Published: </w:t>
      </w:r>
      <w:r w:rsidRPr="007E5C2C">
        <w:rPr>
          <w:rFonts w:ascii="Minion Pro Capt" w:hAnsi="Minion Pro Capt"/>
          <w:lang w:eastAsia="zh-CN"/>
        </w:rPr>
        <w:t>**** **, ***</w:t>
      </w:r>
    </w:p>
    <w:p w14:paraId="4B650B82" w14:textId="5CF71BA4" w:rsidR="00D50EC1" w:rsidRPr="007E5C2C" w:rsidRDefault="00D50EC1" w:rsidP="00C70031">
      <w:pPr>
        <w:overflowPunct w:val="0"/>
        <w:autoSpaceDE w:val="0"/>
        <w:autoSpaceDN w:val="0"/>
        <w:adjustRightInd w:val="0"/>
        <w:snapToGrid w:val="0"/>
        <w:spacing w:beforeLines="50" w:before="120"/>
        <w:ind w:rightChars="100" w:right="200"/>
        <w:rPr>
          <w:rFonts w:ascii="Minion Pro Capt" w:hAnsi="Minion Pro Capt"/>
          <w:lang w:eastAsia="zh-CN"/>
        </w:rPr>
      </w:pPr>
      <w:r w:rsidRPr="007E5C2C">
        <w:rPr>
          <w:rFonts w:ascii="Minion Pro Capt" w:hAnsi="Minion Pro Capt"/>
          <w:lang w:eastAsia="zh-CN"/>
        </w:rPr>
        <w:t>Copyright © 20</w:t>
      </w:r>
      <w:r w:rsidR="00EA03A0">
        <w:rPr>
          <w:rFonts w:ascii="Minion Pro Capt" w:hAnsi="Minion Pro Capt" w:hint="eastAsia"/>
          <w:lang w:eastAsia="zh-CN"/>
        </w:rPr>
        <w:t>2</w:t>
      </w:r>
      <w:r w:rsidR="000560FA">
        <w:rPr>
          <w:rFonts w:ascii="Minion Pro Capt" w:hAnsi="Minion Pro Capt" w:hint="eastAsia"/>
          <w:lang w:eastAsia="zh-CN"/>
        </w:rPr>
        <w:t>6</w:t>
      </w:r>
      <w:r w:rsidRPr="007E5C2C">
        <w:rPr>
          <w:rFonts w:ascii="Minion Pro Capt" w:hAnsi="Minion Pro Capt"/>
          <w:lang w:eastAsia="zh-CN"/>
        </w:rPr>
        <w:t xml:space="preserve"> by authors and Scientific Research Publishing Inc.</w:t>
      </w:r>
    </w:p>
    <w:p w14:paraId="7E776465" w14:textId="77777777" w:rsidR="00D50EC1" w:rsidRPr="007E5C2C" w:rsidRDefault="00D50EC1" w:rsidP="00384578">
      <w:pPr>
        <w:overflowPunct w:val="0"/>
        <w:autoSpaceDE w:val="0"/>
        <w:autoSpaceDN w:val="0"/>
        <w:adjustRightInd w:val="0"/>
        <w:snapToGrid w:val="0"/>
        <w:ind w:rightChars="100" w:right="200"/>
        <w:rPr>
          <w:rFonts w:ascii="Minion Pro Capt" w:hAnsi="Minion Pro Capt"/>
          <w:lang w:eastAsia="zh-CN"/>
        </w:rPr>
      </w:pPr>
      <w:r w:rsidRPr="007E5C2C">
        <w:rPr>
          <w:rFonts w:ascii="Minion Pro Capt" w:hAnsi="Minion Pro Capt"/>
          <w:lang w:eastAsia="zh-CN"/>
        </w:rPr>
        <w:t>This work is licensed under the Creative Commons Attribution International License (CC BY 4.0).</w:t>
      </w:r>
    </w:p>
    <w:p w14:paraId="455385A8" w14:textId="77777777" w:rsidR="00D50EC1" w:rsidRPr="007E5C2C" w:rsidRDefault="00D50EC1" w:rsidP="00384578">
      <w:pPr>
        <w:overflowPunct w:val="0"/>
        <w:autoSpaceDE w:val="0"/>
        <w:autoSpaceDN w:val="0"/>
        <w:adjustRightInd w:val="0"/>
        <w:snapToGrid w:val="0"/>
        <w:ind w:rightChars="100" w:right="200"/>
        <w:rPr>
          <w:rFonts w:ascii="Minion Pro Capt" w:hAnsi="Minion Pro Capt"/>
          <w:lang w:eastAsia="zh-CN"/>
        </w:rPr>
      </w:pPr>
      <w:hyperlink r:id="rId9" w:history="1">
        <w:r w:rsidRPr="007E5C2C">
          <w:rPr>
            <w:rStyle w:val="a3"/>
            <w:rFonts w:ascii="Minion Pro Capt" w:hAnsi="Minion Pro Capt"/>
            <w:lang w:eastAsia="zh-CN"/>
          </w:rPr>
          <w:t>http://creativecommons.org/licenses/by/4.0/</w:t>
        </w:r>
      </w:hyperlink>
    </w:p>
    <w:p w14:paraId="303B4763" w14:textId="77777777" w:rsidR="00D50EC1" w:rsidRPr="001D5EF3" w:rsidRDefault="00D50EC1" w:rsidP="00384578">
      <w:pPr>
        <w:overflowPunct w:val="0"/>
        <w:autoSpaceDE w:val="0"/>
        <w:autoSpaceDN w:val="0"/>
        <w:adjustRightInd w:val="0"/>
        <w:snapToGrid w:val="0"/>
        <w:ind w:rightChars="100" w:right="200"/>
        <w:rPr>
          <w:rFonts w:ascii="Minion Pro Capt" w:hAnsi="Minion Pro Capt"/>
          <w:sz w:val="18"/>
          <w:szCs w:val="18"/>
          <w:lang w:val="en-GB" w:eastAsia="zh-CN"/>
        </w:rPr>
      </w:pPr>
      <w:r w:rsidRPr="001D5EF3">
        <w:rPr>
          <w:rFonts w:ascii="Minion Pro Capt" w:hAnsi="Minion Pro Capt"/>
          <w:sz w:val="18"/>
          <w:szCs w:val="18"/>
          <w:lang w:eastAsia="zh-CN"/>
        </w:rPr>
        <w:object w:dxaOrig="855" w:dyaOrig="303" w14:anchorId="7BD21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4.95pt" o:ole="">
            <v:imagedata r:id="rId10" o:title="" cropright="-1610f"/>
          </v:shape>
          <o:OLEObject Type="Embed" ProgID="Word.Picture.8" ShapeID="_x0000_i1025" DrawAspect="Content" ObjectID="_1824896537" r:id="rId11"/>
        </w:object>
      </w:r>
      <w:r w:rsidRPr="001D5EF3">
        <w:rPr>
          <w:rFonts w:ascii="Minion Pro Capt" w:hAnsi="Minion Pro Capt"/>
          <w:sz w:val="18"/>
          <w:szCs w:val="18"/>
          <w:lang w:eastAsia="zh-CN"/>
        </w:rPr>
        <w:t xml:space="preserve"> </w:t>
      </w:r>
      <w:r w:rsidRPr="001D5EF3">
        <w:rPr>
          <w:rFonts w:ascii="Minion Pro Capt" w:hAnsi="Minion Pro Capt"/>
          <w:noProof/>
          <w:sz w:val="18"/>
          <w:szCs w:val="18"/>
          <w:lang w:eastAsia="zh-CN"/>
        </w:rPr>
        <w:drawing>
          <wp:inline distT="0" distB="0" distL="0" distR="0" wp14:anchorId="46F599E9" wp14:editId="571E52E4">
            <wp:extent cx="665480" cy="190500"/>
            <wp:effectExtent l="19050" t="0" r="127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srcRect l="1950" t="2856" r="3989" b="12000"/>
                    <a:stretch>
                      <a:fillRect/>
                    </a:stretch>
                  </pic:blipFill>
                  <pic:spPr bwMode="auto">
                    <a:xfrm>
                      <a:off x="0" y="0"/>
                      <a:ext cx="665480" cy="190500"/>
                    </a:xfrm>
                    <a:prstGeom prst="rect">
                      <a:avLst/>
                    </a:prstGeom>
                    <a:noFill/>
                    <a:ln w="9525">
                      <a:noFill/>
                      <a:miter lim="800000"/>
                      <a:headEnd/>
                      <a:tailEnd/>
                    </a:ln>
                  </pic:spPr>
                </pic:pic>
              </a:graphicData>
            </a:graphic>
          </wp:inline>
        </w:drawing>
      </w:r>
    </w:p>
    <w:p w14:paraId="6D2E7422" w14:textId="77777777" w:rsidR="008C6D3F" w:rsidRPr="001D5EF3" w:rsidRDefault="008C6D3F" w:rsidP="00E33482">
      <w:pPr>
        <w:overflowPunct w:val="0"/>
        <w:autoSpaceDE w:val="0"/>
        <w:autoSpaceDN w:val="0"/>
        <w:adjustRightInd w:val="0"/>
        <w:snapToGrid w:val="0"/>
        <w:ind w:rightChars="100" w:right="200"/>
        <w:rPr>
          <w:rFonts w:ascii="Palatino Linotype" w:hAnsi="Palatino Linotype"/>
          <w:sz w:val="16"/>
          <w:szCs w:val="16"/>
          <w:lang w:val="en-GB" w:eastAsia="zh-CN"/>
        </w:rPr>
      </w:pPr>
    </w:p>
    <w:p w14:paraId="2A2A2E05" w14:textId="77777777" w:rsidR="006D2451" w:rsidRPr="001D5EF3" w:rsidRDefault="006D2451" w:rsidP="006D2451">
      <w:pPr>
        <w:overflowPunct w:val="0"/>
        <w:autoSpaceDE w:val="0"/>
        <w:autoSpaceDN w:val="0"/>
        <w:adjustRightInd w:val="0"/>
        <w:snapToGrid w:val="0"/>
        <w:ind w:rightChars="100" w:right="200"/>
        <w:rPr>
          <w:rFonts w:ascii="Palatino Linotype" w:hAnsi="Palatino Linotype"/>
          <w:sz w:val="16"/>
          <w:szCs w:val="16"/>
          <w:lang w:eastAsia="zh-CN"/>
        </w:rPr>
      </w:pPr>
    </w:p>
    <w:p w14:paraId="2F343E6C" w14:textId="77777777" w:rsidR="007C4263" w:rsidRPr="001D5EF3" w:rsidRDefault="007C4263" w:rsidP="00A52A84">
      <w:pPr>
        <w:pStyle w:val="AA0"/>
        <w:spacing w:after="120"/>
        <w:rPr>
          <w:caps w:val="0"/>
        </w:rPr>
      </w:pPr>
      <w:r w:rsidRPr="001D5EF3">
        <w:t>Abstract</w:t>
      </w:r>
    </w:p>
    <w:p w14:paraId="024B8F74" w14:textId="77777777" w:rsidR="006D2451" w:rsidRPr="001D5EF3" w:rsidRDefault="0096631F" w:rsidP="001D6747">
      <w:pPr>
        <w:widowControl w:val="0"/>
        <w:overflowPunct w:val="0"/>
        <w:ind w:leftChars="200" w:left="400" w:rightChars="200" w:right="400"/>
        <w:rPr>
          <w:rFonts w:ascii="Palatino Linotype" w:hAnsi="Palatino Linotype"/>
          <w:sz w:val="22"/>
          <w:szCs w:val="22"/>
          <w:lang w:eastAsia="zh-CN"/>
        </w:rPr>
      </w:pPr>
      <w:r w:rsidRPr="0096631F">
        <w:rPr>
          <w:rFonts w:ascii="Minion Pro Capt" w:hAnsi="Minion Pro Capt"/>
          <w:b/>
          <w:bCs/>
          <w:sz w:val="22"/>
          <w:szCs w:val="22"/>
        </w:rPr>
        <w:t>This electronic document is a “live” template. The various components of your paper [title, text, heads, etc.] are already defined on the style sheet, as illustrated by the portions given in this document. (Abstract)</w:t>
      </w:r>
    </w:p>
    <w:p w14:paraId="27CAFCEE" w14:textId="77777777" w:rsidR="007C4263" w:rsidRPr="001D5EF3" w:rsidRDefault="007C4263" w:rsidP="007C4263">
      <w:pPr>
        <w:overflowPunct w:val="0"/>
        <w:autoSpaceDE w:val="0"/>
        <w:autoSpaceDN w:val="0"/>
        <w:adjustRightInd w:val="0"/>
        <w:snapToGrid w:val="0"/>
        <w:ind w:rightChars="100" w:right="200"/>
        <w:rPr>
          <w:rFonts w:ascii="Palatino Linotype" w:hAnsi="Palatino Linotype"/>
          <w:sz w:val="16"/>
          <w:szCs w:val="16"/>
          <w:lang w:eastAsia="zh-CN"/>
        </w:rPr>
      </w:pPr>
    </w:p>
    <w:p w14:paraId="3155FB40" w14:textId="77777777" w:rsidR="00255C12" w:rsidRPr="001D5EF3" w:rsidRDefault="00255C12" w:rsidP="000F0FE7">
      <w:pPr>
        <w:pStyle w:val="12"/>
        <w:spacing w:before="240" w:after="120"/>
        <w:rPr>
          <w:caps w:val="0"/>
        </w:rPr>
      </w:pPr>
      <w:r w:rsidRPr="001D5EF3">
        <w:t xml:space="preserve">1. </w:t>
      </w:r>
      <w:r w:rsidR="00D8024A" w:rsidRPr="001D5EF3">
        <w:t>Introduction</w:t>
      </w:r>
    </w:p>
    <w:p w14:paraId="4A9486FD"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 xml:space="preserve">This template, created in MS Word 2007,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journal paper. Margins, column widths, line spacing, and type styles are built-in; examples of the type styles are provided throughout this document and are identified in italic type, within parentheses, following the example. </w:t>
      </w:r>
      <w:bookmarkStart w:id="0" w:name="OLE_LINK3"/>
      <w:bookmarkStart w:id="1" w:name="OLE_LINK5"/>
      <w:r w:rsidRPr="0096631F">
        <w:rPr>
          <w:rFonts w:ascii="Minion Pro Capt" w:hAnsi="Minion Pro Capt"/>
          <w:sz w:val="22"/>
          <w:szCs w:val="22"/>
          <w:lang w:eastAsia="zh-CN"/>
        </w:rPr>
        <w:t>Some components, such as multi-leveled equations, graphics, and tables are not prescribed, although the various table text styles are provided</w:t>
      </w:r>
      <w:bookmarkEnd w:id="0"/>
      <w:bookmarkEnd w:id="1"/>
      <w:r w:rsidRPr="0096631F">
        <w:rPr>
          <w:rFonts w:ascii="Minion Pro Capt" w:hAnsi="Minion Pro Capt"/>
          <w:sz w:val="22"/>
          <w:szCs w:val="22"/>
          <w:lang w:eastAsia="zh-CN"/>
        </w:rPr>
        <w:t>. The formatter will need to create these components, incorporating the applicable criteria that follow.</w:t>
      </w:r>
    </w:p>
    <w:p w14:paraId="3F0B6F5A" w14:textId="77777777" w:rsidR="0096631F" w:rsidRPr="0096631F" w:rsidRDefault="0096631F" w:rsidP="0096631F">
      <w:pPr>
        <w:pStyle w:val="12"/>
        <w:spacing w:before="240" w:after="120"/>
      </w:pPr>
      <w:r w:rsidRPr="0096631F">
        <w:t>2. Ease of Use (Heading 2)</w:t>
      </w:r>
    </w:p>
    <w:p w14:paraId="34BBA890" w14:textId="77777777" w:rsidR="0096631F" w:rsidRPr="0096631F" w:rsidRDefault="0096631F" w:rsidP="0096631F">
      <w:pPr>
        <w:pStyle w:val="21"/>
        <w:spacing w:before="240" w:after="120"/>
      </w:pPr>
      <w:r w:rsidRPr="0096631F">
        <w:t>2.1. Selecting a Template (Sub-Heading 2.1)</w:t>
      </w:r>
    </w:p>
    <w:p w14:paraId="1E3E6020"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First, confirm that you have the correct template for your paper size. This template has been tailored for output on the custom paper size (21 cm * 28.5 cm).</w:t>
      </w:r>
    </w:p>
    <w:p w14:paraId="59FA6DDC" w14:textId="77777777" w:rsidR="0096631F" w:rsidRPr="0096631F" w:rsidRDefault="0096631F" w:rsidP="0096631F">
      <w:pPr>
        <w:pStyle w:val="21"/>
        <w:spacing w:before="240" w:after="120"/>
      </w:pPr>
      <w:r w:rsidRPr="0096631F">
        <w:t>2.2. Maintaining the Integrity of the Specifications</w:t>
      </w:r>
    </w:p>
    <w:p w14:paraId="775580A3"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journals, and not as an independent document. Please do not revise any of the current designations.</w:t>
      </w:r>
    </w:p>
    <w:p w14:paraId="2634E6C0" w14:textId="77777777" w:rsidR="0096631F" w:rsidRPr="0096631F" w:rsidRDefault="0096631F" w:rsidP="0096631F">
      <w:pPr>
        <w:pStyle w:val="12"/>
        <w:spacing w:before="240" w:after="120"/>
      </w:pPr>
      <w:r w:rsidRPr="0096631F">
        <w:lastRenderedPageBreak/>
        <w:t>3. Prepare Your Paper before Styling (Heading 3)</w:t>
      </w:r>
    </w:p>
    <w:p w14:paraId="56851F34"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C0AE45C"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Finally, complete content and organizational editing before formatting. Please take note of the following items when proofreading spelling and grammar:</w:t>
      </w:r>
    </w:p>
    <w:p w14:paraId="58E7686D" w14:textId="77777777" w:rsidR="0096631F" w:rsidRPr="0096631F" w:rsidRDefault="0096631F" w:rsidP="0096631F">
      <w:pPr>
        <w:pStyle w:val="21"/>
        <w:spacing w:before="240" w:after="120"/>
      </w:pPr>
      <w:r w:rsidRPr="0096631F">
        <w:t>3.1. Abbreviations and Acronyms</w:t>
      </w:r>
    </w:p>
    <w:p w14:paraId="409DF09E"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0624C122" w14:textId="77777777" w:rsidR="0096631F" w:rsidRPr="0096631F" w:rsidRDefault="0096631F" w:rsidP="0096631F">
      <w:pPr>
        <w:pStyle w:val="21"/>
        <w:spacing w:before="240" w:after="120"/>
      </w:pPr>
      <w:r w:rsidRPr="0096631F">
        <w:t>3.2. Units</w:t>
      </w:r>
    </w:p>
    <w:p w14:paraId="4B11DFC3" w14:textId="77777777" w:rsidR="0096631F" w:rsidRPr="0096631F" w:rsidRDefault="0096631F" w:rsidP="0096631F">
      <w:pPr>
        <w:widowControl w:val="0"/>
        <w:numPr>
          <w:ilvl w:val="0"/>
          <w:numId w:val="7"/>
        </w:numPr>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Use either SI (MKS) or CGS as primary units. (SI units are encouraged.) English units may be used as secondary units (in parentheses). An exception would be the use of English units as identifiers in trade, such as “3.5-inch disk drive”.</w:t>
      </w:r>
    </w:p>
    <w:p w14:paraId="07C20E57" w14:textId="77777777" w:rsidR="0096631F" w:rsidRPr="0096631F" w:rsidRDefault="0096631F" w:rsidP="0096631F">
      <w:pPr>
        <w:widowControl w:val="0"/>
        <w:numPr>
          <w:ilvl w:val="0"/>
          <w:numId w:val="7"/>
        </w:numPr>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AACD28F" w14:textId="77777777" w:rsidR="0096631F" w:rsidRPr="0096631F" w:rsidRDefault="0096631F" w:rsidP="0096631F">
      <w:pPr>
        <w:widowControl w:val="0"/>
        <w:numPr>
          <w:ilvl w:val="0"/>
          <w:numId w:val="7"/>
        </w:numPr>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Do not mix complete spellings and abbreviations of units: “Wb/m</w:t>
      </w:r>
      <w:r w:rsidRPr="0096631F">
        <w:rPr>
          <w:rFonts w:ascii="Minion Pro Capt" w:hAnsi="Minion Pro Capt"/>
          <w:sz w:val="22"/>
          <w:szCs w:val="22"/>
          <w:vertAlign w:val="superscript"/>
          <w:lang w:eastAsia="zh-CN"/>
        </w:rPr>
        <w:t>2</w:t>
      </w:r>
      <w:r w:rsidRPr="0096631F">
        <w:rPr>
          <w:rFonts w:ascii="Minion Pro Capt" w:hAnsi="Minion Pro Capt"/>
          <w:sz w:val="22"/>
          <w:szCs w:val="22"/>
          <w:lang w:eastAsia="zh-CN"/>
        </w:rPr>
        <w:t>” or “webers per square meter”, not “webers/m</w:t>
      </w:r>
      <w:r w:rsidRPr="0096631F">
        <w:rPr>
          <w:rFonts w:ascii="Minion Pro Capt" w:hAnsi="Minion Pro Capt"/>
          <w:sz w:val="22"/>
          <w:szCs w:val="22"/>
          <w:vertAlign w:val="superscript"/>
          <w:lang w:eastAsia="zh-CN"/>
        </w:rPr>
        <w:t>2</w:t>
      </w:r>
      <w:r w:rsidRPr="0096631F">
        <w:rPr>
          <w:rFonts w:ascii="Minion Pro Capt" w:hAnsi="Minion Pro Capt"/>
          <w:sz w:val="22"/>
          <w:szCs w:val="22"/>
          <w:lang w:eastAsia="zh-CN"/>
        </w:rPr>
        <w:t>”. Spell out units when they appear in text: “... a few henries”, not “... a few H”.</w:t>
      </w:r>
    </w:p>
    <w:p w14:paraId="13167F36" w14:textId="77777777" w:rsidR="0096631F" w:rsidRPr="0096631F" w:rsidRDefault="0096631F" w:rsidP="0096631F">
      <w:pPr>
        <w:widowControl w:val="0"/>
        <w:numPr>
          <w:ilvl w:val="0"/>
          <w:numId w:val="7"/>
        </w:numPr>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Use a zero before decimal points: “0.25”, not “.25”. Use “cm</w:t>
      </w:r>
      <w:r w:rsidRPr="0096631F">
        <w:rPr>
          <w:rFonts w:ascii="Minion Pro Capt" w:hAnsi="Minion Pro Capt"/>
          <w:sz w:val="22"/>
          <w:szCs w:val="22"/>
          <w:vertAlign w:val="superscript"/>
          <w:lang w:eastAsia="zh-CN"/>
        </w:rPr>
        <w:t>3</w:t>
      </w:r>
      <w:r w:rsidRPr="0096631F">
        <w:rPr>
          <w:rFonts w:ascii="Minion Pro Capt" w:hAnsi="Minion Pro Capt"/>
          <w:sz w:val="22"/>
          <w:szCs w:val="22"/>
          <w:lang w:eastAsia="zh-CN"/>
        </w:rPr>
        <w:t>”, not “cc”.</w:t>
      </w:r>
    </w:p>
    <w:p w14:paraId="611AE420" w14:textId="77777777" w:rsidR="0096631F" w:rsidRPr="0096631F" w:rsidRDefault="0096631F" w:rsidP="0096631F">
      <w:pPr>
        <w:pStyle w:val="21"/>
        <w:spacing w:before="240" w:after="120"/>
      </w:pPr>
      <w:r w:rsidRPr="0096631F">
        <w:t>3.3. Equations</w:t>
      </w:r>
    </w:p>
    <w:p w14:paraId="5FAE9197"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The equations are an exception to the prescribed specifications of this template. You will need to determine whether or not your equation should be typed using either the Times New Roman or the Symbol font (please no other font). Equations should be edited by Mathtype, not in text or graphic versions. You are suggested to use Mathtype 6.0 (or above version).</w:t>
      </w:r>
    </w:p>
    <w:p w14:paraId="47143242"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and Greek symbols. Do not italicize constants as π, etc. Use a long dash rather than a hyphen for a minus sign. Punctuate equations with commas or periods when they are part of a sentence, as in</w:t>
      </w:r>
    </w:p>
    <w:p w14:paraId="6CD8F719" w14:textId="77777777" w:rsidR="0096631F" w:rsidRPr="0096631F" w:rsidRDefault="0096631F" w:rsidP="00C70031">
      <w:pPr>
        <w:widowControl w:val="0"/>
        <w:wordWrap w:val="0"/>
        <w:overflowPunct w:val="0"/>
        <w:spacing w:beforeLines="30" w:before="72" w:afterLines="30" w:after="72"/>
        <w:ind w:firstLineChars="200" w:firstLine="400"/>
        <w:jc w:val="right"/>
        <w:rPr>
          <w:rFonts w:ascii="Minion Pro Capt" w:hAnsi="Minion Pro Capt"/>
          <w:sz w:val="22"/>
          <w:szCs w:val="22"/>
          <w:lang w:eastAsia="zh-CN"/>
        </w:rPr>
      </w:pPr>
      <w:r w:rsidRPr="00DB6ACB">
        <w:rPr>
          <w:position w:val="-10"/>
        </w:rPr>
        <w:object w:dxaOrig="920" w:dyaOrig="300" w14:anchorId="415EC71A">
          <v:shape id="_x0000_i1026" type="#_x0000_t75" style="width:46.35pt;height:14.95pt" o:ole="">
            <v:imagedata r:id="rId13" o:title=""/>
          </v:shape>
          <o:OLEObject Type="Embed" ProgID="Equation.DSMT4" ShapeID="_x0000_i1026" DrawAspect="Content" ObjectID="_1824896538" r:id="rId14"/>
        </w:object>
      </w:r>
      <w:r w:rsidRPr="0096631F">
        <w:rPr>
          <w:rFonts w:ascii="Minion Pro Capt" w:hAnsi="Minion Pro Capt"/>
          <w:sz w:val="22"/>
          <w:szCs w:val="22"/>
          <w:lang w:eastAsia="zh-CN"/>
        </w:rPr>
        <w:t xml:space="preserve">.           </w:t>
      </w:r>
      <w:r>
        <w:rPr>
          <w:rFonts w:ascii="Minion Pro Capt" w:hAnsi="Minion Pro Capt" w:hint="eastAsia"/>
          <w:sz w:val="22"/>
          <w:szCs w:val="22"/>
          <w:lang w:eastAsia="zh-CN"/>
        </w:rPr>
        <w:t xml:space="preserve">        </w:t>
      </w:r>
      <w:r w:rsidRPr="0096631F">
        <w:rPr>
          <w:rFonts w:ascii="Minion Pro Capt" w:hAnsi="Minion Pro Capt"/>
          <w:sz w:val="22"/>
          <w:szCs w:val="22"/>
          <w:lang w:eastAsia="zh-CN"/>
        </w:rPr>
        <w:t xml:space="preserve">                    (1)</w:t>
      </w:r>
    </w:p>
    <w:p w14:paraId="5A8C7437"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Note that the equation is centered. Be sure that the symbols in your equation have been defined before or immediately following the equation. Use “Equation (1)”, not “Eq. (1)”or “(1)”,</w:t>
      </w:r>
      <w:r w:rsidRPr="0096631F">
        <w:rPr>
          <w:rFonts w:ascii="Minion Pro Capt" w:hAnsi="Minion Pro Capt" w:hint="eastAsia"/>
          <w:sz w:val="22"/>
          <w:szCs w:val="22"/>
          <w:lang w:eastAsia="zh-CN"/>
        </w:rPr>
        <w:t xml:space="preserve"> </w:t>
      </w:r>
      <w:r w:rsidRPr="0096631F">
        <w:rPr>
          <w:rFonts w:ascii="Minion Pro Capt" w:hAnsi="Minion Pro Capt"/>
          <w:sz w:val="22"/>
          <w:szCs w:val="22"/>
          <w:lang w:eastAsia="zh-CN"/>
        </w:rPr>
        <w:t>and at the beginning of a sentence: “Equation (1) is ...”</w:t>
      </w:r>
    </w:p>
    <w:p w14:paraId="59533ED1" w14:textId="77777777" w:rsidR="0096631F" w:rsidRPr="0096631F" w:rsidRDefault="0096631F" w:rsidP="0096631F">
      <w:pPr>
        <w:pStyle w:val="21"/>
        <w:spacing w:before="240" w:after="120"/>
      </w:pPr>
      <w:r w:rsidRPr="0096631F">
        <w:t>3.4. Some Common Mistakes</w:t>
      </w:r>
    </w:p>
    <w:p w14:paraId="699DB3C9"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 word “data” is plural, not singular.</w:t>
      </w:r>
    </w:p>
    <w:p w14:paraId="62071A62"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 subscript for the permeability of vacuum 0, and other common scientific constants, is zero with subscript formatting, not a lowercase letter “o”.</w:t>
      </w:r>
    </w:p>
    <w:p w14:paraId="458BFED0"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w:t>
      </w:r>
      <w:r w:rsidRPr="0096631F">
        <w:rPr>
          <w:rFonts w:ascii="Minion Pro Capt" w:hAnsi="Minion Pro Capt"/>
          <w:sz w:val="22"/>
          <w:szCs w:val="22"/>
          <w:lang w:eastAsia="zh-CN"/>
        </w:rPr>
        <w:lastRenderedPageBreak/>
        <w:t>end of a sentence is punctuated outside of the closing parenthesis (like this). (A parenthetical sentence is punctuated within the parentheses.)</w:t>
      </w:r>
    </w:p>
    <w:p w14:paraId="26BB49E8"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A graph within a graph is an “inset”, not an “insert”. The word alternatively is preferred to the word “alternately” (unless you really mean something that alternates).</w:t>
      </w:r>
    </w:p>
    <w:p w14:paraId="7A0F02AC"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Do not use the word “essentially” to mean “approximately” or “effectively”.</w:t>
      </w:r>
    </w:p>
    <w:p w14:paraId="2CE685EF"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In your paper title, if the words “that uses” can accurately replace the word “using”, capitalize the “u”; if not, keep using lower-cased.</w:t>
      </w:r>
    </w:p>
    <w:p w14:paraId="22ACE8A2"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Be aware of the different meanings of the homophones “affect” and “effect”, “complement” and “compliment”, “discreet” and “discrete”, “principal” and “principle”.</w:t>
      </w:r>
    </w:p>
    <w:p w14:paraId="5E655B47"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Do not confuse “imply” and “infer”.</w:t>
      </w:r>
    </w:p>
    <w:p w14:paraId="716B971F"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 prefix “non” is not a word; it should be joined to the word it modifies, usually without a hyphen.</w:t>
      </w:r>
    </w:p>
    <w:p w14:paraId="4791626B"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There is no period after the “et” but a period after the “al” in the Latin abbreviation “</w:t>
      </w:r>
      <w:r w:rsidRPr="0096631F">
        <w:rPr>
          <w:rFonts w:ascii="Minion Pro Capt" w:hAnsi="Minion Pro Capt"/>
          <w:i/>
          <w:iCs/>
          <w:sz w:val="22"/>
          <w:szCs w:val="22"/>
          <w:lang w:eastAsia="zh-CN"/>
        </w:rPr>
        <w:t>et al.</w:t>
      </w:r>
      <w:r w:rsidRPr="0096631F">
        <w:rPr>
          <w:rFonts w:ascii="Minion Pro Capt" w:hAnsi="Minion Pro Capt"/>
          <w:sz w:val="22"/>
          <w:szCs w:val="22"/>
          <w:lang w:eastAsia="zh-CN"/>
        </w:rPr>
        <w:t>”.</w:t>
      </w:r>
    </w:p>
    <w:p w14:paraId="2F797AEA" w14:textId="77777777" w:rsidR="0096631F" w:rsidRPr="0096631F" w:rsidRDefault="0096631F" w:rsidP="0096631F">
      <w:pPr>
        <w:widowControl w:val="0"/>
        <w:numPr>
          <w:ilvl w:val="0"/>
          <w:numId w:val="7"/>
        </w:numPr>
        <w:tabs>
          <w:tab w:val="num" w:pos="3277"/>
        </w:tabs>
        <w:overflowPunct w:val="0"/>
        <w:spacing w:line="260" w:lineRule="exact"/>
        <w:rPr>
          <w:rFonts w:ascii="Minion Pro Capt" w:hAnsi="Minion Pro Capt"/>
          <w:sz w:val="22"/>
          <w:szCs w:val="22"/>
          <w:lang w:eastAsia="zh-CN"/>
        </w:rPr>
      </w:pPr>
      <w:r w:rsidRPr="0096631F">
        <w:rPr>
          <w:rFonts w:ascii="Minion Pro Capt" w:hAnsi="Minion Pro Capt"/>
          <w:sz w:val="22"/>
          <w:szCs w:val="22"/>
          <w:lang w:eastAsia="zh-CN"/>
        </w:rPr>
        <w:t>The abbreviation “</w:t>
      </w:r>
      <w:r w:rsidRPr="0096631F">
        <w:rPr>
          <w:rFonts w:ascii="Minion Pro Capt" w:hAnsi="Minion Pro Capt"/>
          <w:i/>
          <w:iCs/>
          <w:sz w:val="22"/>
          <w:szCs w:val="22"/>
          <w:lang w:eastAsia="zh-CN"/>
        </w:rPr>
        <w:t>i.e.</w:t>
      </w:r>
      <w:r w:rsidRPr="0096631F">
        <w:rPr>
          <w:rFonts w:ascii="Minion Pro Capt" w:hAnsi="Minion Pro Capt"/>
          <w:sz w:val="22"/>
          <w:szCs w:val="22"/>
          <w:lang w:eastAsia="zh-CN"/>
        </w:rPr>
        <w:t>” means “that is”, and the abbreviation “e.g.” means “for example”.</w:t>
      </w:r>
    </w:p>
    <w:p w14:paraId="626D26E4" w14:textId="77777777" w:rsidR="0096631F" w:rsidRPr="0096631F" w:rsidRDefault="0096631F" w:rsidP="0096631F">
      <w:pPr>
        <w:pStyle w:val="12"/>
        <w:spacing w:before="240" w:after="120"/>
      </w:pPr>
      <w:r w:rsidRPr="0096631F">
        <w:t>4. Using the Template (Heading 4)</w:t>
      </w:r>
    </w:p>
    <w:p w14:paraId="1079E866"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After the text edit has been completed, the paper is ready for the template. Duplicate the template file by using the Save As command, and use the naming convention prescribed by your journal for the name of your paper. In this newly created file, highlight all of the contents and import your prepared text file. You are now ready to style your paper.</w:t>
      </w:r>
    </w:p>
    <w:p w14:paraId="2FD5564A" w14:textId="77777777" w:rsidR="0096631F" w:rsidRPr="0096631F" w:rsidRDefault="0096631F" w:rsidP="0096631F">
      <w:pPr>
        <w:pStyle w:val="21"/>
        <w:spacing w:before="240" w:after="120"/>
      </w:pPr>
      <w:r w:rsidRPr="0096631F">
        <w:t>4.1. Authors and Affiliations</w:t>
      </w:r>
    </w:p>
    <w:p w14:paraId="265C286E"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The template is designed so that author affiliations are not repeated each time for multiple authors of the same affiliation. Please keep your affiliations as succinct as possible (for example, do NOT post your job titles, positions, academic degrees, zip codes, names of building/street/district/province/state, etc.). This template was designed for two affiliations.</w:t>
      </w:r>
    </w:p>
    <w:p w14:paraId="3887CBBE"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1) For author/s of only one affiliation: To change the default, adjust the template as follows.</w:t>
      </w:r>
    </w:p>
    <w:p w14:paraId="4CA01250"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a) Selection: Highlight all author and affiliation lines.</w:t>
      </w:r>
    </w:p>
    <w:p w14:paraId="33EB5C2F"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b) Change number of columns: Select the Columns icon from the MS Word Standard toolbar and then select “1 Column” from the selection palette.</w:t>
      </w:r>
    </w:p>
    <w:p w14:paraId="673C37BC"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c) Deletion: Delete the author and affiliation lines for the second affiliation.</w:t>
      </w:r>
    </w:p>
    <w:p w14:paraId="0C331E23"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2) For author/s of more than two affiliations: To change the default, adjust the template as follows.</w:t>
      </w:r>
    </w:p>
    <w:p w14:paraId="2017DB57"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a) Selection: Highlight all author and affiliation lines.</w:t>
      </w:r>
    </w:p>
    <w:p w14:paraId="4E465C0A"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b) Change number of columns: Select the “Columns” icon from the MS Word Standard toolbar and then select “1 Column” from the selection palette.</w:t>
      </w:r>
    </w:p>
    <w:p w14:paraId="7C45D7C0"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c) Highlight author and affiliation lines of affiliation 1 and copy this selection.</w:t>
      </w:r>
    </w:p>
    <w:p w14:paraId="1E72E513"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d) Formatting: Insert one hard return immediately after the last character of the last affiliation line. Then paste down the copy of affiliation 1. Repeat as necessary for each additional affiliation.</w:t>
      </w:r>
    </w:p>
    <w:p w14:paraId="38CADB5A" w14:textId="77777777" w:rsidR="0096631F" w:rsidRPr="0096631F" w:rsidRDefault="0096631F" w:rsidP="0096631F">
      <w:pPr>
        <w:pStyle w:val="21"/>
        <w:spacing w:before="240" w:after="120"/>
      </w:pPr>
      <w:r w:rsidRPr="0096631F">
        <w:t>4.2. Identify the Headings</w:t>
      </w:r>
    </w:p>
    <w:p w14:paraId="594DD02E"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Headings, or heads, are organizational devices that guide the reader through your paper. There are two types: component heads and text heads.</w:t>
      </w:r>
    </w:p>
    <w:p w14:paraId="19384F4D"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Component heads identify the different components of your paper and are not topically subordinate to each other. Examples include Acknowledgements and References and, for these, the correct style to use is “Heading 5”. Use “figure caption” for your Figure captions, and “table head” for your table title. Run-in heads, such as “Abstract”, will require you to apply a style (in this case, non-italic) in addition to the style provided by the drop down menu to differentiate the head from the text.</w:t>
      </w:r>
    </w:p>
    <w:p w14:paraId="2047079A"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 xml:space="preserve">Text heads organize the topics on a relational, hierarchical basis. For example, the paper title is the primary text head because all subsequent material relates and elaborates on this one topic. If there are two </w:t>
      </w:r>
      <w:r w:rsidRPr="0096631F">
        <w:rPr>
          <w:rFonts w:ascii="Minion Pro Capt" w:hAnsi="Minion Pro Capt"/>
          <w:sz w:val="22"/>
          <w:szCs w:val="22"/>
          <w:lang w:eastAsia="zh-CN"/>
        </w:rPr>
        <w:lastRenderedPageBreak/>
        <w:t>or more sub-topics, the next level head should be used and, conversely, if there are not at least two sub-topics, then no subheads should be introduced. Styles named “Heading 1”, “Heading 2”, “Heading 3”, and “Heading 4” are prescribed.</w:t>
      </w:r>
    </w:p>
    <w:p w14:paraId="5FFB757C" w14:textId="77777777" w:rsidR="0096631F" w:rsidRPr="0096631F" w:rsidRDefault="0096631F" w:rsidP="0096631F">
      <w:pPr>
        <w:pStyle w:val="21"/>
        <w:spacing w:before="240" w:after="120"/>
      </w:pPr>
      <w:r w:rsidRPr="0096631F">
        <w:t>4.3. Figures and Tables</w:t>
      </w:r>
    </w:p>
    <w:p w14:paraId="4CD70E62" w14:textId="77777777" w:rsidR="0096631F" w:rsidRDefault="00C70031" w:rsidP="00C70031">
      <w:pPr>
        <w:widowControl w:val="0"/>
        <w:overflowPunct w:val="0"/>
        <w:spacing w:line="260" w:lineRule="exact"/>
        <w:ind w:firstLineChars="200" w:firstLine="440"/>
        <w:rPr>
          <w:rFonts w:ascii="Minion Pro Capt" w:hAnsi="Minion Pro Capt"/>
          <w:sz w:val="22"/>
          <w:szCs w:val="22"/>
          <w:lang w:eastAsia="zh-CN"/>
        </w:rPr>
      </w:pPr>
      <w:r w:rsidRPr="00C70031">
        <w:rPr>
          <w:rFonts w:ascii="Minion Pro Capt" w:hAnsi="Minion Pro Capt"/>
          <w:sz w:val="22"/>
          <w:szCs w:val="22"/>
          <w:lang w:eastAsia="zh-CN"/>
        </w:rPr>
        <w:t>Positioning Figures and Tables: Figures/tables</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should</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be</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placed</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in</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the same</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position</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as</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it</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is</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referenced</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in</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the</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main</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text.</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Oversized</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figures/tables</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may</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be</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arranged</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at</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the</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top</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or</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bottom</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of</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the</w:t>
      </w:r>
      <w:r w:rsidRPr="00C70031">
        <w:rPr>
          <w:rFonts w:ascii="Minion Pro Capt" w:hAnsi="Minion Pro Capt" w:hint="eastAsia"/>
          <w:sz w:val="22"/>
          <w:szCs w:val="22"/>
          <w:lang w:eastAsia="zh-CN"/>
        </w:rPr>
        <w:t xml:space="preserve"> </w:t>
      </w:r>
      <w:r w:rsidRPr="00C70031">
        <w:rPr>
          <w:rFonts w:ascii="Minion Pro Capt" w:hAnsi="Minion Pro Capt"/>
          <w:sz w:val="22"/>
          <w:szCs w:val="22"/>
          <w:lang w:eastAsia="zh-CN"/>
        </w:rPr>
        <w:t>page.</w:t>
      </w:r>
      <w:r w:rsidR="0096631F" w:rsidRPr="0096631F">
        <w:rPr>
          <w:rFonts w:ascii="Minion Pro Capt" w:hAnsi="Minion Pro Capt"/>
          <w:sz w:val="22"/>
          <w:szCs w:val="22"/>
          <w:lang w:eastAsia="zh-CN"/>
        </w:rPr>
        <w:t xml:space="preserve"> Figure captions should be below the figures; table heads should appear above the tables. Insert figures and tables after they are cited in the text. Use “</w:t>
      </w:r>
      <w:r w:rsidR="0096631F" w:rsidRPr="0096631F">
        <w:rPr>
          <w:rFonts w:ascii="Minion Pro Capt" w:hAnsi="Minion Pro Capt"/>
          <w:b/>
          <w:bCs/>
          <w:sz w:val="22"/>
          <w:szCs w:val="22"/>
          <w:lang w:eastAsia="zh-CN"/>
        </w:rPr>
        <w:t>Figure 1</w:t>
      </w:r>
      <w:r w:rsidR="0096631F" w:rsidRPr="0096631F">
        <w:rPr>
          <w:rFonts w:ascii="Minion Pro Capt" w:hAnsi="Minion Pro Capt"/>
          <w:sz w:val="22"/>
          <w:szCs w:val="22"/>
          <w:lang w:eastAsia="zh-CN"/>
        </w:rPr>
        <w:t>”and “</w:t>
      </w:r>
      <w:r w:rsidR="0096631F" w:rsidRPr="0096631F">
        <w:rPr>
          <w:rFonts w:ascii="Minion Pro Capt" w:hAnsi="Minion Pro Capt"/>
          <w:b/>
          <w:bCs/>
          <w:sz w:val="22"/>
          <w:szCs w:val="22"/>
          <w:lang w:eastAsia="zh-CN"/>
        </w:rPr>
        <w:t>Table 1</w:t>
      </w:r>
      <w:r w:rsidR="0096631F" w:rsidRPr="0096631F">
        <w:rPr>
          <w:rFonts w:ascii="Minion Pro Capt" w:hAnsi="Minion Pro Capt"/>
          <w:sz w:val="22"/>
          <w:szCs w:val="22"/>
          <w:lang w:eastAsia="zh-CN"/>
        </w:rPr>
        <w:t>” in bold fonts, even at the beginning of a sentence.</w:t>
      </w:r>
    </w:p>
    <w:p w14:paraId="714F9480"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p>
    <w:p w14:paraId="1500D69B" w14:textId="77777777" w:rsidR="0096631F" w:rsidRPr="00DB0BC8" w:rsidRDefault="0096631F" w:rsidP="0096631F">
      <w:pPr>
        <w:pStyle w:val="C-Table"/>
        <w:widowControl w:val="0"/>
        <w:overflowPunct w:val="0"/>
        <w:adjustRightInd w:val="0"/>
        <w:snapToGrid w:val="0"/>
        <w:spacing w:after="120"/>
        <w:jc w:val="both"/>
        <w:rPr>
          <w:rFonts w:ascii="Minion Pro Capt" w:hAnsi="Minion Pro Capt"/>
          <w:noProof w:val="0"/>
          <w:sz w:val="22"/>
          <w:szCs w:val="22"/>
        </w:rPr>
      </w:pPr>
      <w:bookmarkStart w:id="2" w:name="t1"/>
      <w:r w:rsidRPr="001D6747">
        <w:rPr>
          <w:rFonts w:ascii="Minion Pro Capt" w:hAnsi="Minion Pro Capt"/>
          <w:color w:val="BF1F3D"/>
          <w:sz w:val="22"/>
          <w:szCs w:val="22"/>
        </w:rPr>
        <w:t>Table 1</w:t>
      </w:r>
      <w:bookmarkEnd w:id="2"/>
      <w:r w:rsidRPr="001D6747">
        <w:rPr>
          <w:rFonts w:ascii="Minion Pro Capt" w:hAnsi="Minion Pro Capt"/>
          <w:color w:val="BF1F3D"/>
          <w:sz w:val="22"/>
          <w:szCs w:val="22"/>
        </w:rPr>
        <w:t>.</w:t>
      </w:r>
      <w:r w:rsidRPr="00DB0BC8">
        <w:rPr>
          <w:rFonts w:ascii="Minion Pro Capt" w:hAnsi="Minion Pro Capt"/>
          <w:color w:val="943634" w:themeColor="accent2" w:themeShade="BF"/>
          <w:sz w:val="22"/>
          <w:szCs w:val="22"/>
        </w:rPr>
        <w:t xml:space="preserve"> </w:t>
      </w:r>
      <w:r w:rsidRPr="00DB0BC8">
        <w:rPr>
          <w:rFonts w:ascii="Minion Pro Capt" w:hAnsi="Minion Pro Capt"/>
          <w:sz w:val="22"/>
          <w:szCs w:val="22"/>
        </w:rPr>
        <w:t>Table type styles (Table caption is indispensable).</w:t>
      </w:r>
    </w:p>
    <w:tbl>
      <w:tblPr>
        <w:tblW w:w="9639" w:type="dxa"/>
        <w:tblBorders>
          <w:top w:val="single" w:sz="4" w:space="0" w:color="BF1F3D"/>
          <w:bottom w:val="single" w:sz="4" w:space="0" w:color="BF1F3D"/>
        </w:tblBorders>
        <w:tblCellMar>
          <w:left w:w="0" w:type="dxa"/>
          <w:right w:w="0" w:type="dxa"/>
        </w:tblCellMar>
        <w:tblLook w:val="0000" w:firstRow="0" w:lastRow="0" w:firstColumn="0" w:lastColumn="0" w:noHBand="0" w:noVBand="0"/>
      </w:tblPr>
      <w:tblGrid>
        <w:gridCol w:w="2835"/>
        <w:gridCol w:w="2268"/>
        <w:gridCol w:w="2268"/>
        <w:gridCol w:w="2268"/>
      </w:tblGrid>
      <w:tr w:rsidR="0096631F" w:rsidRPr="00BE1D6D" w14:paraId="22611D15" w14:textId="77777777" w:rsidTr="001D6747">
        <w:trPr>
          <w:trHeight w:hRule="exact" w:val="340"/>
          <w:tblHeader/>
        </w:trPr>
        <w:tc>
          <w:tcPr>
            <w:tcW w:w="2835" w:type="dxa"/>
            <w:vMerge w:val="restart"/>
            <w:vAlign w:val="center"/>
          </w:tcPr>
          <w:p w14:paraId="5C35C58F" w14:textId="77777777" w:rsidR="0096631F" w:rsidRPr="00DB0BC8" w:rsidRDefault="0096631F" w:rsidP="00DB6ACB">
            <w:pPr>
              <w:pStyle w:val="tablecolhead"/>
              <w:widowControl w:val="0"/>
              <w:overflowPunct w:val="0"/>
              <w:rPr>
                <w:rFonts w:ascii="Minion Pro Capt" w:hAnsi="Minion Pro Capt"/>
                <w:b w:val="0"/>
                <w:bCs w:val="0"/>
                <w:sz w:val="22"/>
                <w:szCs w:val="22"/>
              </w:rPr>
            </w:pPr>
            <w:r w:rsidRPr="00DB0BC8">
              <w:rPr>
                <w:rFonts w:ascii="Minion Pro Capt" w:hAnsi="Minion Pro Capt"/>
                <w:b w:val="0"/>
                <w:bCs w:val="0"/>
                <w:sz w:val="22"/>
                <w:szCs w:val="22"/>
              </w:rPr>
              <w:t>Table Head</w:t>
            </w:r>
          </w:p>
        </w:tc>
        <w:tc>
          <w:tcPr>
            <w:tcW w:w="6804" w:type="dxa"/>
            <w:gridSpan w:val="3"/>
            <w:tcBorders>
              <w:bottom w:val="single" w:sz="2" w:space="0" w:color="BF1F3D"/>
            </w:tcBorders>
            <w:vAlign w:val="center"/>
          </w:tcPr>
          <w:p w14:paraId="15E8E335" w14:textId="77777777" w:rsidR="0096631F" w:rsidRPr="00DB0BC8" w:rsidRDefault="0096631F" w:rsidP="00DB6ACB">
            <w:pPr>
              <w:pStyle w:val="tablecolhead"/>
              <w:widowControl w:val="0"/>
              <w:overflowPunct w:val="0"/>
              <w:rPr>
                <w:rFonts w:ascii="Minion Pro Capt" w:hAnsi="Minion Pro Capt"/>
                <w:b w:val="0"/>
                <w:bCs w:val="0"/>
                <w:sz w:val="22"/>
                <w:szCs w:val="22"/>
              </w:rPr>
            </w:pPr>
            <w:r w:rsidRPr="00DB0BC8">
              <w:rPr>
                <w:rFonts w:ascii="Minion Pro Capt" w:hAnsi="Minion Pro Capt"/>
                <w:b w:val="0"/>
                <w:bCs w:val="0"/>
                <w:sz w:val="22"/>
                <w:szCs w:val="22"/>
              </w:rPr>
              <w:t>Table Column Head</w:t>
            </w:r>
          </w:p>
        </w:tc>
      </w:tr>
      <w:tr w:rsidR="0096631F" w:rsidRPr="00BE1D6D" w14:paraId="705D21BC" w14:textId="77777777" w:rsidTr="001D6747">
        <w:trPr>
          <w:trHeight w:hRule="exact" w:val="340"/>
          <w:tblHeader/>
        </w:trPr>
        <w:tc>
          <w:tcPr>
            <w:tcW w:w="2835" w:type="dxa"/>
            <w:vMerge/>
            <w:tcBorders>
              <w:bottom w:val="single" w:sz="2" w:space="0" w:color="BF1F3D"/>
            </w:tcBorders>
            <w:vAlign w:val="center"/>
          </w:tcPr>
          <w:p w14:paraId="02A56448" w14:textId="77777777" w:rsidR="0096631F" w:rsidRPr="00DB0BC8" w:rsidRDefault="0096631F" w:rsidP="00DB6ACB">
            <w:pPr>
              <w:widowControl w:val="0"/>
              <w:overflowPunct w:val="0"/>
              <w:jc w:val="center"/>
              <w:rPr>
                <w:rFonts w:ascii="Minion Pro Capt" w:hAnsi="Minion Pro Capt"/>
                <w:sz w:val="22"/>
                <w:szCs w:val="22"/>
              </w:rPr>
            </w:pPr>
          </w:p>
        </w:tc>
        <w:tc>
          <w:tcPr>
            <w:tcW w:w="2268" w:type="dxa"/>
            <w:tcBorders>
              <w:top w:val="single" w:sz="2" w:space="0" w:color="BF1F3D"/>
              <w:bottom w:val="single" w:sz="2" w:space="0" w:color="BF1F3D"/>
            </w:tcBorders>
            <w:vAlign w:val="center"/>
          </w:tcPr>
          <w:p w14:paraId="1E04D3BB" w14:textId="77777777" w:rsidR="0096631F" w:rsidRPr="00DB0BC8" w:rsidRDefault="0096631F" w:rsidP="00DB6ACB">
            <w:pPr>
              <w:pStyle w:val="tablecolsubhead"/>
              <w:widowControl w:val="0"/>
              <w:overflowPunct w:val="0"/>
              <w:rPr>
                <w:rFonts w:ascii="Minion Pro Capt" w:hAnsi="Minion Pro Capt"/>
                <w:b w:val="0"/>
                <w:bCs w:val="0"/>
                <w:i w:val="0"/>
                <w:iCs w:val="0"/>
                <w:sz w:val="22"/>
                <w:szCs w:val="22"/>
              </w:rPr>
            </w:pPr>
            <w:r w:rsidRPr="00DB0BC8">
              <w:rPr>
                <w:rFonts w:ascii="Minion Pro Capt" w:hAnsi="Minion Pro Capt"/>
                <w:b w:val="0"/>
                <w:bCs w:val="0"/>
                <w:i w:val="0"/>
                <w:iCs w:val="0"/>
                <w:sz w:val="22"/>
                <w:szCs w:val="22"/>
              </w:rPr>
              <w:t>Table column subhead</w:t>
            </w:r>
          </w:p>
        </w:tc>
        <w:tc>
          <w:tcPr>
            <w:tcW w:w="2268" w:type="dxa"/>
            <w:tcBorders>
              <w:top w:val="single" w:sz="2" w:space="0" w:color="BF1F3D"/>
              <w:bottom w:val="single" w:sz="2" w:space="0" w:color="BF1F3D"/>
            </w:tcBorders>
            <w:vAlign w:val="center"/>
          </w:tcPr>
          <w:p w14:paraId="3A3B81E8" w14:textId="77777777" w:rsidR="0096631F" w:rsidRPr="00DB0BC8" w:rsidRDefault="0096631F" w:rsidP="00DB6ACB">
            <w:pPr>
              <w:pStyle w:val="tablecolsubhead"/>
              <w:widowControl w:val="0"/>
              <w:overflowPunct w:val="0"/>
              <w:rPr>
                <w:rFonts w:ascii="Minion Pro Capt" w:hAnsi="Minion Pro Capt"/>
                <w:b w:val="0"/>
                <w:bCs w:val="0"/>
                <w:i w:val="0"/>
                <w:iCs w:val="0"/>
                <w:sz w:val="22"/>
                <w:szCs w:val="22"/>
              </w:rPr>
            </w:pPr>
            <w:r w:rsidRPr="00DB0BC8">
              <w:rPr>
                <w:rFonts w:ascii="Minion Pro Capt" w:hAnsi="Minion Pro Capt"/>
                <w:b w:val="0"/>
                <w:bCs w:val="0"/>
                <w:i w:val="0"/>
                <w:iCs w:val="0"/>
                <w:sz w:val="22"/>
                <w:szCs w:val="22"/>
              </w:rPr>
              <w:t>Subhead</w:t>
            </w:r>
          </w:p>
        </w:tc>
        <w:tc>
          <w:tcPr>
            <w:tcW w:w="2268" w:type="dxa"/>
            <w:tcBorders>
              <w:top w:val="single" w:sz="2" w:space="0" w:color="BF1F3D"/>
              <w:bottom w:val="single" w:sz="2" w:space="0" w:color="BF1F3D"/>
            </w:tcBorders>
            <w:vAlign w:val="center"/>
          </w:tcPr>
          <w:p w14:paraId="17F36B03" w14:textId="77777777" w:rsidR="0096631F" w:rsidRPr="00DB0BC8" w:rsidRDefault="0096631F" w:rsidP="00DB6ACB">
            <w:pPr>
              <w:pStyle w:val="tablecolsubhead"/>
              <w:widowControl w:val="0"/>
              <w:overflowPunct w:val="0"/>
              <w:rPr>
                <w:rFonts w:ascii="Minion Pro Capt" w:hAnsi="Minion Pro Capt"/>
                <w:b w:val="0"/>
                <w:bCs w:val="0"/>
                <w:i w:val="0"/>
                <w:iCs w:val="0"/>
                <w:sz w:val="22"/>
                <w:szCs w:val="22"/>
              </w:rPr>
            </w:pPr>
            <w:r w:rsidRPr="00DB0BC8">
              <w:rPr>
                <w:rFonts w:ascii="Minion Pro Capt" w:hAnsi="Minion Pro Capt"/>
                <w:b w:val="0"/>
                <w:bCs w:val="0"/>
                <w:i w:val="0"/>
                <w:iCs w:val="0"/>
                <w:sz w:val="22"/>
                <w:szCs w:val="22"/>
              </w:rPr>
              <w:t>Subhead</w:t>
            </w:r>
          </w:p>
        </w:tc>
      </w:tr>
      <w:tr w:rsidR="0096631F" w:rsidRPr="00BE1D6D" w14:paraId="29E97D8C" w14:textId="77777777" w:rsidTr="001D6747">
        <w:trPr>
          <w:trHeight w:hRule="exact" w:val="340"/>
        </w:trPr>
        <w:tc>
          <w:tcPr>
            <w:tcW w:w="2835" w:type="dxa"/>
            <w:tcBorders>
              <w:top w:val="single" w:sz="2" w:space="0" w:color="BF1F3D"/>
            </w:tcBorders>
            <w:vAlign w:val="center"/>
          </w:tcPr>
          <w:p w14:paraId="3FE42CB9" w14:textId="77777777" w:rsidR="0096631F" w:rsidRPr="00DB0BC8" w:rsidRDefault="0096631F" w:rsidP="00DB6ACB">
            <w:pPr>
              <w:pStyle w:val="tablecopy"/>
              <w:widowControl w:val="0"/>
              <w:overflowPunct w:val="0"/>
              <w:jc w:val="center"/>
              <w:rPr>
                <w:rFonts w:ascii="Minion Pro Capt" w:hAnsi="Minion Pro Capt"/>
                <w:sz w:val="22"/>
                <w:szCs w:val="22"/>
              </w:rPr>
            </w:pPr>
            <w:r w:rsidRPr="00DB0BC8">
              <w:rPr>
                <w:rFonts w:ascii="Minion Pro Capt" w:hAnsi="Minion Pro Capt"/>
                <w:sz w:val="22"/>
                <w:szCs w:val="22"/>
              </w:rPr>
              <w:t>copy</w:t>
            </w:r>
          </w:p>
        </w:tc>
        <w:tc>
          <w:tcPr>
            <w:tcW w:w="2268" w:type="dxa"/>
            <w:tcBorders>
              <w:top w:val="single" w:sz="2" w:space="0" w:color="BF1F3D"/>
            </w:tcBorders>
            <w:vAlign w:val="center"/>
          </w:tcPr>
          <w:p w14:paraId="2F947FC3" w14:textId="77777777" w:rsidR="0096631F" w:rsidRPr="00DB0BC8" w:rsidRDefault="0096631F" w:rsidP="00DB6ACB">
            <w:pPr>
              <w:pStyle w:val="tablecopy"/>
              <w:widowControl w:val="0"/>
              <w:overflowPunct w:val="0"/>
              <w:jc w:val="center"/>
              <w:rPr>
                <w:rFonts w:ascii="Minion Pro Capt" w:hAnsi="Minion Pro Capt"/>
                <w:sz w:val="22"/>
                <w:szCs w:val="22"/>
              </w:rPr>
            </w:pPr>
            <w:r w:rsidRPr="00DB0BC8">
              <w:rPr>
                <w:rFonts w:ascii="Minion Pro Capt" w:hAnsi="Minion Pro Capt"/>
                <w:sz w:val="22"/>
                <w:szCs w:val="22"/>
              </w:rPr>
              <w:t>More table copy</w:t>
            </w:r>
            <w:r w:rsidRPr="00DB0BC8">
              <w:rPr>
                <w:rFonts w:ascii="Minion Pro Capt" w:hAnsi="Minion Pro Capt"/>
                <w:sz w:val="22"/>
                <w:szCs w:val="22"/>
                <w:vertAlign w:val="superscript"/>
              </w:rPr>
              <w:t>a</w:t>
            </w:r>
          </w:p>
        </w:tc>
        <w:tc>
          <w:tcPr>
            <w:tcW w:w="2268" w:type="dxa"/>
            <w:tcBorders>
              <w:top w:val="single" w:sz="2" w:space="0" w:color="BF1F3D"/>
            </w:tcBorders>
            <w:vAlign w:val="center"/>
          </w:tcPr>
          <w:p w14:paraId="6EF62B69" w14:textId="77777777" w:rsidR="0096631F" w:rsidRPr="00DB0BC8" w:rsidRDefault="0096631F" w:rsidP="00DB6ACB">
            <w:pPr>
              <w:widowControl w:val="0"/>
              <w:overflowPunct w:val="0"/>
              <w:jc w:val="center"/>
              <w:rPr>
                <w:rFonts w:ascii="Minion Pro Capt" w:hAnsi="Minion Pro Capt"/>
                <w:sz w:val="22"/>
                <w:szCs w:val="22"/>
              </w:rPr>
            </w:pPr>
          </w:p>
        </w:tc>
        <w:tc>
          <w:tcPr>
            <w:tcW w:w="2268" w:type="dxa"/>
            <w:tcBorders>
              <w:top w:val="single" w:sz="2" w:space="0" w:color="BF1F3D"/>
            </w:tcBorders>
            <w:vAlign w:val="center"/>
          </w:tcPr>
          <w:p w14:paraId="74EC5799" w14:textId="77777777" w:rsidR="0096631F" w:rsidRPr="00DB0BC8" w:rsidRDefault="0096631F" w:rsidP="00DB6ACB">
            <w:pPr>
              <w:widowControl w:val="0"/>
              <w:overflowPunct w:val="0"/>
              <w:jc w:val="center"/>
              <w:rPr>
                <w:rFonts w:ascii="Minion Pro Capt" w:hAnsi="Minion Pro Capt"/>
                <w:sz w:val="22"/>
                <w:szCs w:val="22"/>
              </w:rPr>
            </w:pPr>
          </w:p>
        </w:tc>
      </w:tr>
    </w:tbl>
    <w:p w14:paraId="7D822C29" w14:textId="77777777" w:rsidR="0096631F" w:rsidRDefault="0096631F" w:rsidP="00C70031">
      <w:pPr>
        <w:widowControl w:val="0"/>
        <w:overflowPunct w:val="0"/>
        <w:adjustRightInd w:val="0"/>
        <w:snapToGrid w:val="0"/>
        <w:spacing w:beforeLines="30" w:before="72"/>
        <w:jc w:val="left"/>
        <w:rPr>
          <w:rFonts w:ascii="Minion Pro Capt" w:hAnsi="Minion Pro Capt"/>
          <w:sz w:val="22"/>
          <w:szCs w:val="22"/>
          <w:lang w:eastAsia="zh-CN"/>
        </w:rPr>
      </w:pPr>
      <w:r w:rsidRPr="00DB0BC8">
        <w:rPr>
          <w:rFonts w:ascii="Minion Pro Capt" w:eastAsia="MS Mincho" w:hAnsi="Minion Pro Capt"/>
          <w:sz w:val="22"/>
          <w:szCs w:val="22"/>
          <w:vertAlign w:val="superscript"/>
        </w:rPr>
        <w:t>a</w:t>
      </w:r>
      <w:r w:rsidRPr="00DB0BC8">
        <w:rPr>
          <w:rFonts w:ascii="Minion Pro Capt" w:eastAsia="MS Mincho" w:hAnsi="Minion Pro Capt"/>
          <w:sz w:val="22"/>
          <w:szCs w:val="22"/>
        </w:rPr>
        <w:t>Sample of a Table footnote (</w:t>
      </w:r>
      <w:r w:rsidRPr="00DB0BC8">
        <w:rPr>
          <w:rFonts w:ascii="Minion Pro Capt" w:eastAsia="MS Mincho" w:hAnsi="Minion Pro Capt"/>
          <w:i/>
          <w:iCs/>
          <w:sz w:val="22"/>
          <w:szCs w:val="22"/>
        </w:rPr>
        <w:t>Table footnote is dispensable</w:t>
      </w:r>
      <w:r w:rsidRPr="00DB0BC8">
        <w:rPr>
          <w:rFonts w:ascii="Minion Pro Capt" w:eastAsia="MS Mincho" w:hAnsi="Minion Pro Capt"/>
          <w:sz w:val="22"/>
          <w:szCs w:val="22"/>
        </w:rPr>
        <w:t>)</w:t>
      </w:r>
      <w:r w:rsidRPr="00DB0BC8">
        <w:rPr>
          <w:rFonts w:ascii="Minion Pro Capt" w:hAnsi="Minion Pro Capt"/>
          <w:sz w:val="22"/>
          <w:szCs w:val="22"/>
          <w:lang w:eastAsia="zh-CN"/>
        </w:rPr>
        <w:t>.</w:t>
      </w:r>
    </w:p>
    <w:p w14:paraId="05E52BF7"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43D45B00"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44B3F8A6"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4756D67D"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696F5F9C" w14:textId="77777777" w:rsidR="0096631F" w:rsidRDefault="0096631F" w:rsidP="0096631F">
      <w:pPr>
        <w:widowControl w:val="0"/>
        <w:overflowPunct w:val="0"/>
        <w:adjustRightInd w:val="0"/>
        <w:snapToGrid w:val="0"/>
        <w:spacing w:line="300" w:lineRule="exact"/>
        <w:rPr>
          <w:rFonts w:ascii="Minion Pro Capt" w:hAnsi="Minion Pro Capt"/>
          <w:lang w:eastAsia="zh-CN"/>
        </w:rPr>
      </w:pPr>
    </w:p>
    <w:p w14:paraId="70B3DA95" w14:textId="77777777" w:rsidR="0096631F" w:rsidRPr="00E02DC8" w:rsidRDefault="00000000" w:rsidP="0096631F">
      <w:pPr>
        <w:widowControl w:val="0"/>
        <w:overflowPunct w:val="0"/>
        <w:adjustRightInd w:val="0"/>
        <w:snapToGrid w:val="0"/>
        <w:spacing w:line="300" w:lineRule="exact"/>
        <w:rPr>
          <w:rFonts w:ascii="Minion Pro Capt" w:hAnsi="Minion Pro Capt"/>
          <w:lang w:eastAsia="zh-CN"/>
        </w:rPr>
      </w:pPr>
      <w:r>
        <w:rPr>
          <w:rFonts w:ascii="Minion Pro Capt" w:hAnsi="Minion Pro Capt"/>
          <w:lang w:eastAsia="zh-CN"/>
        </w:rPr>
      </w:r>
      <w:r>
        <w:rPr>
          <w:rFonts w:ascii="Minion Pro Capt" w:hAnsi="Minion Pro Capt"/>
          <w:lang w:eastAsia="zh-CN"/>
        </w:rPr>
        <w:pict w14:anchorId="2EA6492E">
          <v:shapetype id="_x0000_t202" coordsize="21600,21600" o:spt="202" path="m,l,21600r21600,l21600,xe">
            <v:stroke joinstyle="miter"/>
            <v:path gradientshapeok="t" o:connecttype="rect"/>
          </v:shapetype>
          <v:shape id="_x0000_s2050" type="#_x0000_t202" style="width:479.85pt;height:74.75pt;mso-wrap-edited:f;mso-left-percent:-10001;mso-top-percent:-10001;mso-position-horizontal:absolute;mso-position-horizontal-relative:char;mso-position-vertical:absolute;mso-position-vertical-relative:line;mso-left-percent:-10001;mso-top-percent:-10001">
            <v:textbox style="mso-next-textbox:#_x0000_s2050">
              <w:txbxContent>
                <w:p w14:paraId="4295BFD3" w14:textId="77777777" w:rsidR="0096631F" w:rsidRPr="005A60EA" w:rsidRDefault="0096631F" w:rsidP="0096631F">
                  <w:pPr>
                    <w:pStyle w:val="af"/>
                    <w:snapToGrid w:val="0"/>
                    <w:spacing w:after="0" w:line="240" w:lineRule="auto"/>
                    <w:ind w:firstLine="289"/>
                    <w:rPr>
                      <w:rFonts w:ascii="Arial" w:eastAsia="Arial Unicode MS" w:hAnsi="Arial" w:cs="Arial"/>
                    </w:rPr>
                  </w:pPr>
                  <w:r w:rsidRPr="005A60EA">
                    <w:rPr>
                      <w:rFonts w:ascii="Arial" w:eastAsia="Arial Unicode MS" w:hAnsi="Arial" w:cs="Arial"/>
                    </w:rPr>
                    <w:t xml:space="preserve">We suggest that you use a text box to insert a graphic (which is ideally a </w:t>
                  </w:r>
                  <w:r w:rsidRPr="005A60EA">
                    <w:rPr>
                      <w:rFonts w:ascii="Arial" w:eastAsia="Arial Unicode MS" w:hAnsi="Arial" w:cs="Arial"/>
                      <w:lang w:eastAsia="zh-CN"/>
                    </w:rPr>
                    <w:t>5</w:t>
                  </w:r>
                  <w:r w:rsidRPr="005A60EA">
                    <w:rPr>
                      <w:rFonts w:ascii="Arial" w:eastAsia="Arial Unicode MS" w:hAnsi="Arial" w:cs="Arial"/>
                    </w:rPr>
                    <w:t xml:space="preserve">00 dpi </w:t>
                  </w:r>
                  <w:r w:rsidRPr="005A60EA">
                    <w:rPr>
                      <w:rFonts w:ascii="Arial" w:eastAsia="Arial Unicode MS" w:hAnsi="Arial" w:cs="Arial"/>
                      <w:lang w:eastAsia="zh-CN"/>
                    </w:rPr>
                    <w:t>jpg, png or tif</w:t>
                  </w:r>
                  <w:r w:rsidRPr="005A60EA">
                    <w:rPr>
                      <w:rFonts w:ascii="Arial" w:eastAsia="Arial Unicode MS" w:hAnsi="Arial" w:cs="Arial"/>
                    </w:rPr>
                    <w:t>file, with all fonts embedded) because, in an MSW document, this method is somewhat more stable than directly inserting a picture.</w:t>
                  </w:r>
                </w:p>
                <w:p w14:paraId="05ECD401" w14:textId="77777777" w:rsidR="0096631F" w:rsidRPr="005A60EA" w:rsidRDefault="0096631F" w:rsidP="0096631F">
                  <w:pPr>
                    <w:pStyle w:val="af"/>
                    <w:snapToGrid w:val="0"/>
                    <w:spacing w:after="0" w:line="240" w:lineRule="auto"/>
                    <w:ind w:firstLine="289"/>
                    <w:rPr>
                      <w:rFonts w:ascii="Arial" w:eastAsia="Arial Unicode MS" w:hAnsi="Arial" w:cs="Arial"/>
                    </w:rPr>
                  </w:pPr>
                  <w:r w:rsidRPr="005A60EA">
                    <w:rPr>
                      <w:rFonts w:ascii="Arial" w:eastAsia="Arial Unicode MS" w:hAnsi="Arial" w:cs="Arial"/>
                    </w:rPr>
                    <w:t>To have non-visi</w:t>
                  </w:r>
                  <w:bookmarkStart w:id="3" w:name="Figure1"/>
                  <w:bookmarkEnd w:id="3"/>
                  <w:r w:rsidRPr="005A60EA">
                    <w:rPr>
                      <w:rFonts w:ascii="Arial" w:eastAsia="Arial Unicode MS" w:hAnsi="Arial" w:cs="Arial"/>
                    </w:rPr>
                    <w:t>ble rules on your frame, use the MSWord “Format” pull-down menu, select Text Box &gt; Colors and Lines to choose No Fill and No Line.</w:t>
                  </w:r>
                </w:p>
              </w:txbxContent>
            </v:textbox>
            <w10:anchorlock/>
          </v:shape>
        </w:pict>
      </w:r>
    </w:p>
    <w:p w14:paraId="3ED56A15" w14:textId="77777777" w:rsidR="0096631F" w:rsidRPr="00DB0BC8" w:rsidRDefault="0096631F" w:rsidP="00C70031">
      <w:pPr>
        <w:pStyle w:val="C-Table"/>
        <w:widowControl w:val="0"/>
        <w:overflowPunct w:val="0"/>
        <w:adjustRightInd w:val="0"/>
        <w:snapToGrid w:val="0"/>
        <w:spacing w:beforeLines="50" w:before="120" w:afterLines="0"/>
        <w:jc w:val="both"/>
        <w:rPr>
          <w:rFonts w:ascii="Minion Pro Capt" w:hAnsi="Minion Pro Capt"/>
          <w:sz w:val="22"/>
          <w:szCs w:val="22"/>
          <w:lang w:eastAsia="zh-CN"/>
        </w:rPr>
      </w:pPr>
      <w:r w:rsidRPr="001D6747">
        <w:rPr>
          <w:rFonts w:ascii="Minion Pro Capt" w:hAnsi="Minion Pro Capt"/>
          <w:color w:val="BF1F3D"/>
          <w:sz w:val="22"/>
          <w:szCs w:val="22"/>
          <w:lang w:eastAsia="zh-CN"/>
        </w:rPr>
        <w:t>Figure</w:t>
      </w:r>
      <w:r w:rsidRPr="001D6747">
        <w:rPr>
          <w:rFonts w:ascii="Minion Pro Capt" w:hAnsi="Minion Pro Capt"/>
          <w:bCs w:val="0"/>
          <w:color w:val="BF1F3D"/>
          <w:sz w:val="22"/>
          <w:szCs w:val="22"/>
          <w:lang w:eastAsia="zh-CN"/>
        </w:rPr>
        <w:t xml:space="preserve"> 1.</w:t>
      </w:r>
      <w:r w:rsidRPr="00DB0BC8">
        <w:rPr>
          <w:rFonts w:ascii="Minion Pro Capt" w:hAnsi="Minion Pro Capt"/>
          <w:bCs w:val="0"/>
          <w:color w:val="943634" w:themeColor="accent2" w:themeShade="BF"/>
          <w:sz w:val="22"/>
          <w:szCs w:val="22"/>
          <w:lang w:eastAsia="zh-CN"/>
        </w:rPr>
        <w:t xml:space="preserve"> </w:t>
      </w:r>
      <w:r w:rsidRPr="00DB0BC8">
        <w:rPr>
          <w:rFonts w:ascii="Minion Pro Capt" w:hAnsi="Minion Pro Capt"/>
          <w:bCs w:val="0"/>
          <w:sz w:val="22"/>
          <w:szCs w:val="22"/>
        </w:rPr>
        <w:t>Example of a figure caption (figure caption).</w:t>
      </w:r>
    </w:p>
    <w:p w14:paraId="1C538D75"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p>
    <w:p w14:paraId="4C669593"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w:t>
      </w:r>
      <w:r w:rsidRPr="0096631F">
        <w:rPr>
          <w:rFonts w:ascii="Minion Pro Capt" w:hAnsi="Minion Pro Capt"/>
          <w:sz w:val="22"/>
          <w:szCs w:val="22"/>
          <w:vertAlign w:val="superscript"/>
          <w:lang w:eastAsia="zh-CN"/>
        </w:rPr>
        <w:t>–1</w:t>
      </w:r>
      <w:r w:rsidRPr="0096631F">
        <w:rPr>
          <w:rFonts w:ascii="Minion Pro Capt" w:hAnsi="Minion Pro Capt"/>
          <w:sz w:val="22"/>
          <w:szCs w:val="22"/>
          <w:lang w:eastAsia="zh-CN"/>
        </w:rPr>
        <w:t>)”, not just “A/m”. Do not label axes with a ratio of quantities and units. For example, write “Temperature (K)”, not “Temperature/K”.</w:t>
      </w:r>
    </w:p>
    <w:p w14:paraId="1684FA9A" w14:textId="77777777" w:rsidR="0096631F" w:rsidRPr="0096631F" w:rsidRDefault="0096631F" w:rsidP="0096631F">
      <w:pPr>
        <w:pStyle w:val="12"/>
        <w:spacing w:before="240" w:after="120"/>
      </w:pPr>
      <w:r w:rsidRPr="0096631F">
        <w:t>Acknowledgements</w:t>
      </w:r>
    </w:p>
    <w:p w14:paraId="068EA364"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Avoid the stilted expression, “One of us (R. B. G.) thanks...” Instead, try “R. B. G. thanks”. Do NOT put sponsor acknowledgements in the unnumbered footnote on the first page, but at here.</w:t>
      </w:r>
    </w:p>
    <w:p w14:paraId="291EE4B5" w14:textId="77777777" w:rsidR="0096631F" w:rsidRPr="0096631F" w:rsidRDefault="0096631F" w:rsidP="0096631F">
      <w:pPr>
        <w:pStyle w:val="12"/>
        <w:spacing w:before="240" w:after="120"/>
      </w:pPr>
      <w:r w:rsidRPr="0096631F">
        <w:t>References</w:t>
      </w:r>
    </w:p>
    <w:p w14:paraId="2138C222"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The template will number citations consecutively within brackets [1]. The sentence punctuation follows the bracket [2]. Refer simply to the reference number, as in [3]—do not use “Ref. [3]” or “reference [3]” except at the beginning of a sentence: “Reference [3] was the first...”</w:t>
      </w:r>
    </w:p>
    <w:p w14:paraId="197C45AE"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Number footnotes separately in superscripts. Place the actual footnote at the bottom of the column in which it was cited. Do not put footnotes in the reference list. Use letters for table footnotes.</w:t>
      </w:r>
    </w:p>
    <w:p w14:paraId="4F89E7F2"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Unless there are six authors or more give all authors’ names; do not use “et al.”. Papers that have not been published, even if they have been submitted for publication, should be cited as “unpublished”. Papers that have been accepted for publication should be cited as “in press”. Capitalize each word in a paper title, except for function words and element symbols.</w:t>
      </w:r>
    </w:p>
    <w:p w14:paraId="7894108B"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lastRenderedPageBreak/>
        <w:t>For papers published in translation journals, please give the English citation first, followed by the original foreign-language citation [4</w:t>
      </w:r>
      <w:r w:rsidRPr="0096631F">
        <w:rPr>
          <w:rFonts w:ascii="Minion Pro Capt" w:hAnsi="Minion Pro Capt" w:hint="eastAsia"/>
          <w:sz w:val="22"/>
          <w:szCs w:val="22"/>
          <w:lang w:eastAsia="zh-CN"/>
        </w:rPr>
        <w:t>]</w:t>
      </w:r>
      <w:r w:rsidRPr="0096631F">
        <w:rPr>
          <w:rFonts w:ascii="Minion Pro Capt" w:hAnsi="Minion Pro Capt"/>
          <w:sz w:val="22"/>
          <w:szCs w:val="22"/>
          <w:lang w:eastAsia="zh-CN"/>
        </w:rPr>
        <w:t>-</w:t>
      </w:r>
      <w:r w:rsidRPr="0096631F">
        <w:rPr>
          <w:rFonts w:ascii="Minion Pro Capt" w:hAnsi="Minion Pro Capt" w:hint="eastAsia"/>
          <w:sz w:val="22"/>
          <w:szCs w:val="22"/>
          <w:lang w:eastAsia="zh-CN"/>
        </w:rPr>
        <w:t>[</w:t>
      </w:r>
      <w:r w:rsidRPr="0096631F">
        <w:rPr>
          <w:rFonts w:ascii="Minion Pro Capt" w:hAnsi="Minion Pro Capt"/>
          <w:sz w:val="22"/>
          <w:szCs w:val="22"/>
          <w:lang w:eastAsia="zh-CN"/>
        </w:rPr>
        <w:t>9].</w:t>
      </w:r>
    </w:p>
    <w:p w14:paraId="634B9855" w14:textId="77777777" w:rsidR="0096631F" w:rsidRPr="0096631F" w:rsidRDefault="0096631F" w:rsidP="0096631F">
      <w:pPr>
        <w:widowControl w:val="0"/>
        <w:overflowPunct w:val="0"/>
        <w:spacing w:line="260" w:lineRule="exact"/>
        <w:ind w:firstLineChars="200" w:firstLine="440"/>
        <w:rPr>
          <w:rFonts w:ascii="Minion Pro Capt" w:hAnsi="Minion Pro Capt"/>
          <w:sz w:val="22"/>
          <w:szCs w:val="22"/>
          <w:lang w:eastAsia="zh-CN"/>
        </w:rPr>
      </w:pPr>
      <w:r w:rsidRPr="0096631F">
        <w:rPr>
          <w:rFonts w:ascii="Minion Pro Capt" w:hAnsi="Minion Pro Capt"/>
          <w:sz w:val="22"/>
          <w:szCs w:val="22"/>
          <w:lang w:eastAsia="zh-CN"/>
        </w:rPr>
        <w:t>For example, [1] is for a journal paper, [2] is for a conference proceedings, [3] is for transactions, [4] is for a book, [5] is article or chapter in an edited book, [6] is for a thesis, [7] is for article in proceedings, [8] is for article from internet, [9] is for a patent.</w:t>
      </w:r>
    </w:p>
    <w:p w14:paraId="661FEE30" w14:textId="497EFC51" w:rsidR="000F0FE7" w:rsidRDefault="004060CA" w:rsidP="0096631F">
      <w:pPr>
        <w:widowControl w:val="0"/>
        <w:overflowPunct w:val="0"/>
        <w:spacing w:line="260" w:lineRule="exact"/>
        <w:ind w:firstLineChars="200" w:firstLine="440"/>
        <w:rPr>
          <w:rFonts w:ascii="Minion Pro Capt" w:hAnsi="Minion Pro Capt"/>
          <w:sz w:val="22"/>
          <w:szCs w:val="22"/>
          <w:lang w:eastAsia="zh-CN"/>
        </w:rPr>
      </w:pPr>
      <w:r w:rsidRPr="004060CA">
        <w:rPr>
          <w:rFonts w:ascii="Minion Pro Capt" w:hAnsi="Minion Pro Capt"/>
          <w:sz w:val="22"/>
          <w:szCs w:val="22"/>
          <w:lang w:eastAsia="zh-CN"/>
        </w:rPr>
        <w:t xml:space="preserve">Please completely normalize your references as the following format. Please retrieve Digital Object Identifiers (DOIs) for journal articles, books, and chapters by simply cutting and pasting the reference list at </w:t>
      </w:r>
      <w:hyperlink r:id="rId15" w:history="1">
        <w:r w:rsidRPr="004060CA">
          <w:rPr>
            <w:rStyle w:val="a3"/>
            <w:rFonts w:ascii="Minion Pro Capt" w:hAnsi="Minion Pro Capt"/>
            <w:sz w:val="22"/>
            <w:szCs w:val="22"/>
            <w:lang w:eastAsia="zh-CN"/>
          </w:rPr>
          <w:t>https://doi.crossref.org/simpleTextQuery</w:t>
        </w:r>
      </w:hyperlink>
      <w:r w:rsidRPr="004060CA">
        <w:rPr>
          <w:rFonts w:ascii="Minion Pro Capt" w:hAnsi="Minion Pro Capt"/>
          <w:sz w:val="22"/>
          <w:szCs w:val="22"/>
          <w:lang w:eastAsia="zh-CN"/>
        </w:rPr>
        <w:t>. Preserve hyperlinks and underlines in DOIs.</w:t>
      </w:r>
    </w:p>
    <w:p w14:paraId="72018432" w14:textId="77777777" w:rsidR="0096631F" w:rsidRDefault="0096631F" w:rsidP="0096631F">
      <w:pPr>
        <w:widowControl w:val="0"/>
        <w:overflowPunct w:val="0"/>
        <w:spacing w:line="260" w:lineRule="exact"/>
        <w:ind w:firstLineChars="200" w:firstLine="440"/>
        <w:rPr>
          <w:rFonts w:ascii="Minion Pro Capt" w:hAnsi="Minion Pro Capt"/>
          <w:sz w:val="22"/>
          <w:szCs w:val="22"/>
          <w:lang w:eastAsia="zh-CN"/>
        </w:rPr>
      </w:pPr>
    </w:p>
    <w:p w14:paraId="3F396D6C" w14:textId="77777777" w:rsidR="0096631F" w:rsidRPr="0096631F"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Malik</w:t>
      </w:r>
      <w:r w:rsidRPr="0096631F">
        <w:rPr>
          <w:rFonts w:ascii="Minion Pro Capt" w:hAnsi="Minion Pro Capt" w:hint="eastAsia"/>
          <w:color w:val="000000"/>
        </w:rPr>
        <w:t>,</w:t>
      </w:r>
      <w:r w:rsidRPr="0096631F">
        <w:rPr>
          <w:rFonts w:ascii="Minion Pro Capt" w:hAnsi="Minion Pro Capt"/>
          <w:color w:val="000000"/>
        </w:rPr>
        <w:t xml:space="preserve"> A.S., Boyko, O.</w:t>
      </w:r>
      <w:r w:rsidRPr="0096631F">
        <w:rPr>
          <w:rFonts w:ascii="Minion Pro Capt" w:hAnsi="Minion Pro Capt" w:hint="eastAsia"/>
          <w:color w:val="000000"/>
        </w:rPr>
        <w:t>,</w:t>
      </w:r>
      <w:r w:rsidRPr="0096631F">
        <w:rPr>
          <w:rFonts w:ascii="Minion Pro Capt" w:hAnsi="Minion Pro Capt"/>
          <w:color w:val="000000"/>
        </w:rPr>
        <w:t xml:space="preserve"> Atkar</w:t>
      </w:r>
      <w:r w:rsidRPr="0096631F">
        <w:rPr>
          <w:rFonts w:ascii="Minion Pro Capt" w:hAnsi="Minion Pro Capt" w:hint="eastAsia"/>
          <w:color w:val="000000"/>
        </w:rPr>
        <w:t>,</w:t>
      </w:r>
      <w:r w:rsidRPr="0096631F">
        <w:rPr>
          <w:rFonts w:ascii="Minion Pro Capt" w:hAnsi="Minion Pro Capt"/>
          <w:color w:val="000000"/>
        </w:rPr>
        <w:t xml:space="preserve"> N. and Young, W.F. </w:t>
      </w:r>
      <w:r w:rsidRPr="0096631F">
        <w:rPr>
          <w:rFonts w:ascii="Minion Pro Capt" w:hAnsi="Minion Pro Capt" w:hint="eastAsia"/>
          <w:color w:val="000000"/>
        </w:rPr>
        <w:t>(</w:t>
      </w:r>
      <w:r w:rsidRPr="0096631F">
        <w:rPr>
          <w:rFonts w:ascii="Minion Pro Capt" w:hAnsi="Minion Pro Capt"/>
          <w:color w:val="000000"/>
        </w:rPr>
        <w:t>2001</w:t>
      </w:r>
      <w:r w:rsidRPr="0096631F">
        <w:rPr>
          <w:rFonts w:ascii="Minion Pro Capt" w:hAnsi="Minion Pro Capt" w:hint="eastAsia"/>
          <w:color w:val="000000"/>
        </w:rPr>
        <w:t>)</w:t>
      </w:r>
      <w:r w:rsidRPr="0096631F">
        <w:rPr>
          <w:rFonts w:ascii="Minion Pro Capt" w:hAnsi="Minion Pro Capt"/>
          <w:color w:val="000000"/>
        </w:rPr>
        <w:t xml:space="preserve"> A Comparative Study of MR Imaging Profile of Titanium Pedicle Screws. </w:t>
      </w:r>
      <w:r w:rsidRPr="0096631F">
        <w:rPr>
          <w:rFonts w:ascii="Minion Pro Capt" w:hAnsi="Minion Pro Capt"/>
          <w:i/>
          <w:iCs/>
          <w:color w:val="000000"/>
        </w:rPr>
        <w:t>Acta Radiologica</w:t>
      </w:r>
      <w:r w:rsidRPr="0096631F">
        <w:rPr>
          <w:rFonts w:ascii="Minion Pro Capt" w:hAnsi="Minion Pro Capt"/>
          <w:color w:val="000000"/>
        </w:rPr>
        <w:t xml:space="preserve">, </w:t>
      </w:r>
      <w:r w:rsidRPr="0096631F">
        <w:rPr>
          <w:rFonts w:ascii="Minion Pro Capt" w:hAnsi="Minion Pro Capt"/>
          <w:b/>
          <w:color w:val="000000"/>
        </w:rPr>
        <w:t>42</w:t>
      </w:r>
      <w:r w:rsidRPr="0096631F">
        <w:rPr>
          <w:rFonts w:ascii="Minion Pro Capt" w:hAnsi="Minion Pro Capt"/>
          <w:color w:val="000000"/>
        </w:rPr>
        <w:t>, 291-293.</w:t>
      </w:r>
      <w:r w:rsidRPr="0096631F">
        <w:rPr>
          <w:rFonts w:ascii="Minion Pro Capt" w:hAnsi="Minion Pro Capt" w:hint="eastAsia"/>
          <w:color w:val="000000"/>
        </w:rPr>
        <w:t xml:space="preserve"> </w:t>
      </w:r>
      <w:r w:rsidRPr="0096631F">
        <w:rPr>
          <w:rFonts w:ascii="Minion Pro Capt" w:hAnsi="Minion Pro Capt"/>
          <w:color w:val="000000"/>
        </w:rPr>
        <w:br/>
      </w:r>
      <w:hyperlink r:id="rId16" w:tgtFrame="_blank" w:history="1">
        <w:r w:rsidRPr="0096631F">
          <w:rPr>
            <w:rStyle w:val="a3"/>
            <w:rFonts w:ascii="Minion Pro Capt" w:hAnsi="Minion Pro Capt"/>
          </w:rPr>
          <w:t>http://dx.doi.org/10.1080/028418501127346846</w:t>
        </w:r>
      </w:hyperlink>
    </w:p>
    <w:p w14:paraId="19279A6F" w14:textId="77777777" w:rsidR="0096631F" w:rsidRPr="0096631F"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Hu</w:t>
      </w:r>
      <w:r w:rsidRPr="0096631F">
        <w:rPr>
          <w:rFonts w:ascii="Minion Pro Capt" w:hAnsi="Minion Pro Capt" w:hint="eastAsia"/>
          <w:color w:val="000000"/>
        </w:rPr>
        <w:t>,</w:t>
      </w:r>
      <w:r w:rsidRPr="0096631F">
        <w:rPr>
          <w:rFonts w:ascii="Minion Pro Capt" w:hAnsi="Minion Pro Capt"/>
          <w:color w:val="000000"/>
        </w:rPr>
        <w:t xml:space="preserve"> T. and Desai, J.P. </w:t>
      </w:r>
      <w:r w:rsidRPr="0096631F">
        <w:rPr>
          <w:rFonts w:ascii="Minion Pro Capt" w:hAnsi="Minion Pro Capt" w:hint="eastAsia"/>
          <w:color w:val="000000"/>
        </w:rPr>
        <w:t xml:space="preserve">(2004) </w:t>
      </w:r>
      <w:r w:rsidRPr="0096631F">
        <w:rPr>
          <w:rFonts w:ascii="Minion Pro Capt" w:hAnsi="Minion Pro Capt"/>
          <w:color w:val="000000"/>
        </w:rPr>
        <w:t xml:space="preserve">Soft-Tissue Material Properties under Large Deformation: Strain Rate Effect. </w:t>
      </w:r>
      <w:r w:rsidRPr="0096631F">
        <w:rPr>
          <w:rFonts w:ascii="Minion Pro Capt" w:hAnsi="Minion Pro Capt"/>
          <w:i/>
          <w:iCs/>
          <w:color w:val="000000"/>
        </w:rPr>
        <w:t xml:space="preserve">Proceedings of the </w:t>
      </w:r>
      <w:r w:rsidRPr="0096631F">
        <w:rPr>
          <w:rFonts w:ascii="Minion Pro Capt" w:hAnsi="Minion Pro Capt"/>
          <w:color w:val="000000"/>
        </w:rPr>
        <w:t>26</w:t>
      </w:r>
      <w:r w:rsidRPr="0096631F">
        <w:rPr>
          <w:rFonts w:ascii="Minion Pro Capt" w:hAnsi="Minion Pro Capt"/>
          <w:i/>
          <w:iCs/>
          <w:color w:val="000000"/>
        </w:rPr>
        <w:t>th Annual International Conference of the IEEE EMBS</w:t>
      </w:r>
      <w:r w:rsidRPr="0096631F">
        <w:rPr>
          <w:rFonts w:ascii="Minion Pro Capt" w:hAnsi="Minion Pro Capt"/>
          <w:color w:val="000000"/>
        </w:rPr>
        <w:t>, San Francisco, 1-5 September 2004, 2758-2761.</w:t>
      </w:r>
    </w:p>
    <w:p w14:paraId="1F5C51C5" w14:textId="77777777" w:rsidR="0096631F" w:rsidRPr="0096631F"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Ortega, R.</w:t>
      </w:r>
      <w:r w:rsidRPr="0096631F">
        <w:rPr>
          <w:rFonts w:ascii="Minion Pro Capt" w:hAnsi="Minion Pro Capt" w:hint="eastAsia"/>
          <w:color w:val="000000"/>
        </w:rPr>
        <w:t>,</w:t>
      </w:r>
      <w:r w:rsidRPr="0096631F">
        <w:rPr>
          <w:rFonts w:ascii="Minion Pro Capt" w:hAnsi="Minion Pro Capt"/>
          <w:color w:val="000000"/>
        </w:rPr>
        <w:t xml:space="preserve"> Loria</w:t>
      </w:r>
      <w:r w:rsidRPr="0096631F">
        <w:rPr>
          <w:rFonts w:ascii="Minion Pro Capt" w:hAnsi="Minion Pro Capt" w:hint="eastAsia"/>
          <w:color w:val="000000"/>
        </w:rPr>
        <w:t xml:space="preserve">, </w:t>
      </w:r>
      <w:r w:rsidRPr="0096631F">
        <w:rPr>
          <w:rFonts w:ascii="Minion Pro Capt" w:hAnsi="Minion Pro Capt"/>
          <w:color w:val="000000"/>
        </w:rPr>
        <w:t>A. and Kelly</w:t>
      </w:r>
      <w:r w:rsidRPr="0096631F">
        <w:rPr>
          <w:rFonts w:ascii="Minion Pro Capt" w:hAnsi="Minion Pro Capt" w:hint="eastAsia"/>
          <w:color w:val="000000"/>
        </w:rPr>
        <w:t>,</w:t>
      </w:r>
      <w:r w:rsidRPr="0096631F">
        <w:rPr>
          <w:rFonts w:ascii="Minion Pro Capt" w:hAnsi="Minion Pro Capt"/>
          <w:color w:val="000000"/>
        </w:rPr>
        <w:t xml:space="preserve"> R.</w:t>
      </w:r>
      <w:r w:rsidRPr="0096631F">
        <w:rPr>
          <w:rFonts w:ascii="Minion Pro Capt" w:hAnsi="Minion Pro Capt" w:hint="eastAsia"/>
          <w:color w:val="000000"/>
        </w:rPr>
        <w:t xml:space="preserve"> (</w:t>
      </w:r>
      <w:r w:rsidRPr="0096631F">
        <w:rPr>
          <w:rFonts w:ascii="Minion Pro Capt" w:hAnsi="Minion Pro Capt"/>
          <w:color w:val="000000"/>
        </w:rPr>
        <w:t>1995</w:t>
      </w:r>
      <w:r w:rsidRPr="0096631F">
        <w:rPr>
          <w:rFonts w:ascii="Minion Pro Capt" w:hAnsi="Minion Pro Capt" w:hint="eastAsia"/>
          <w:color w:val="000000"/>
        </w:rPr>
        <w:t>)</w:t>
      </w:r>
      <w:r w:rsidRPr="0096631F">
        <w:rPr>
          <w:rFonts w:ascii="Minion Pro Capt" w:hAnsi="Minion Pro Capt"/>
          <w:color w:val="000000"/>
        </w:rPr>
        <w:t xml:space="preserve"> A Semiglobally Stable Output Feedback PI2D Regulator for Robot Manipulators. </w:t>
      </w:r>
      <w:r w:rsidRPr="0096631F">
        <w:rPr>
          <w:rFonts w:ascii="Minion Pro Capt" w:hAnsi="Minion Pro Capt"/>
          <w:i/>
          <w:iCs/>
          <w:color w:val="000000"/>
        </w:rPr>
        <w:t>IEEE Transactions on Automatic Control</w:t>
      </w:r>
      <w:r w:rsidRPr="0096631F">
        <w:rPr>
          <w:rFonts w:ascii="Minion Pro Capt" w:hAnsi="Minion Pro Capt"/>
          <w:color w:val="000000"/>
        </w:rPr>
        <w:t>,</w:t>
      </w:r>
      <w:r w:rsidRPr="0096631F">
        <w:rPr>
          <w:rFonts w:ascii="Minion Pro Capt" w:hAnsi="Minion Pro Capt"/>
          <w:b/>
          <w:color w:val="000000"/>
        </w:rPr>
        <w:t xml:space="preserve"> 40</w:t>
      </w:r>
      <w:r w:rsidRPr="0096631F">
        <w:rPr>
          <w:rFonts w:ascii="Minion Pro Capt" w:hAnsi="Minion Pro Capt"/>
          <w:color w:val="000000"/>
        </w:rPr>
        <w:t>, 1432-1436.</w:t>
      </w:r>
      <w:r w:rsidRPr="0096631F">
        <w:rPr>
          <w:rFonts w:ascii="Minion Pro Capt" w:hAnsi="Minion Pro Capt" w:hint="eastAsia"/>
          <w:color w:val="000000"/>
        </w:rPr>
        <w:t xml:space="preserve"> </w:t>
      </w:r>
      <w:hyperlink r:id="rId17" w:tgtFrame="_blank" w:history="1">
        <w:r w:rsidRPr="0096631F">
          <w:rPr>
            <w:rStyle w:val="a3"/>
            <w:rFonts w:ascii="Minion Pro Capt" w:hAnsi="Minion Pro Capt"/>
          </w:rPr>
          <w:t>http://dx.doi.org/10.1109/9.402235</w:t>
        </w:r>
      </w:hyperlink>
    </w:p>
    <w:p w14:paraId="33B9A3F2" w14:textId="77777777" w:rsidR="0096631F" w:rsidRPr="0096631F"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Wit</w:t>
      </w:r>
      <w:r w:rsidRPr="0096631F">
        <w:rPr>
          <w:rFonts w:ascii="Minion Pro Capt" w:hAnsi="Minion Pro Capt" w:hint="eastAsia"/>
          <w:color w:val="000000"/>
        </w:rPr>
        <w:t>,</w:t>
      </w:r>
      <w:r w:rsidRPr="0096631F">
        <w:rPr>
          <w:rFonts w:ascii="Minion Pro Capt" w:hAnsi="Minion Pro Capt"/>
          <w:color w:val="000000"/>
        </w:rPr>
        <w:t xml:space="preserve"> E. and McClure</w:t>
      </w:r>
      <w:r w:rsidRPr="0096631F">
        <w:rPr>
          <w:rFonts w:ascii="Minion Pro Capt" w:hAnsi="Minion Pro Capt" w:hint="eastAsia"/>
          <w:color w:val="000000"/>
        </w:rPr>
        <w:t>,</w:t>
      </w:r>
      <w:r w:rsidRPr="0096631F">
        <w:rPr>
          <w:rFonts w:ascii="Minion Pro Capt" w:hAnsi="Minion Pro Capt"/>
          <w:color w:val="000000"/>
        </w:rPr>
        <w:t xml:space="preserve"> J.</w:t>
      </w:r>
      <w:r w:rsidRPr="0096631F">
        <w:rPr>
          <w:rFonts w:ascii="Minion Pro Capt" w:hAnsi="Minion Pro Capt" w:hint="eastAsia"/>
          <w:color w:val="000000"/>
        </w:rPr>
        <w:t xml:space="preserve"> (2004) </w:t>
      </w:r>
      <w:r w:rsidRPr="0096631F">
        <w:rPr>
          <w:rFonts w:ascii="Minion Pro Capt" w:hAnsi="Minion Pro Capt"/>
          <w:color w:val="000000"/>
        </w:rPr>
        <w:t>Statistics for Microarrays: Design, Analysis, and Inference</w:t>
      </w:r>
      <w:r w:rsidRPr="0096631F">
        <w:rPr>
          <w:rFonts w:ascii="Minion Pro Capt" w:hAnsi="Minion Pro Capt" w:hint="eastAsia"/>
          <w:color w:val="000000"/>
        </w:rPr>
        <w:t>.</w:t>
      </w:r>
      <w:r w:rsidRPr="0096631F">
        <w:rPr>
          <w:rFonts w:ascii="Minion Pro Capt" w:hAnsi="Minion Pro Capt"/>
          <w:color w:val="000000"/>
        </w:rPr>
        <w:t xml:space="preserve"> 5th Edition, John Wiley &amp; Sons Ltd., Chichester.</w:t>
      </w:r>
    </w:p>
    <w:p w14:paraId="73D34949" w14:textId="77777777" w:rsidR="0096631F" w:rsidRPr="0096631F"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Prasad, A.S.</w:t>
      </w:r>
      <w:r w:rsidRPr="0096631F">
        <w:rPr>
          <w:rFonts w:ascii="Minion Pro Capt" w:hAnsi="Minion Pro Capt" w:hint="eastAsia"/>
          <w:color w:val="000000"/>
        </w:rPr>
        <w:t xml:space="preserve"> (1982) </w:t>
      </w:r>
      <w:r w:rsidRPr="0096631F">
        <w:rPr>
          <w:rFonts w:ascii="Minion Pro Capt" w:hAnsi="Minion Pro Capt"/>
          <w:color w:val="000000"/>
        </w:rPr>
        <w:t>Clinical and Biochemical Spectrum of Zinc Deficiency in Human Subjects. In: Prasad, A.S.</w:t>
      </w:r>
      <w:r w:rsidRPr="0096631F">
        <w:rPr>
          <w:rFonts w:ascii="Minion Pro Capt" w:hAnsi="Minion Pro Capt" w:hint="eastAsia"/>
          <w:color w:val="000000"/>
        </w:rPr>
        <w:t>,</w:t>
      </w:r>
      <w:r w:rsidRPr="0096631F">
        <w:rPr>
          <w:rFonts w:ascii="Minion Pro Capt" w:hAnsi="Minion Pro Capt"/>
          <w:color w:val="000000"/>
        </w:rPr>
        <w:t xml:space="preserve"> Ed., </w:t>
      </w:r>
      <w:r w:rsidRPr="0096631F">
        <w:rPr>
          <w:rFonts w:ascii="Minion Pro Capt" w:hAnsi="Minion Pro Capt"/>
          <w:i/>
          <w:iCs/>
          <w:color w:val="000000"/>
        </w:rPr>
        <w:t>Clinical</w:t>
      </w:r>
      <w:r w:rsidRPr="0096631F">
        <w:rPr>
          <w:rFonts w:ascii="Minion Pro Capt" w:hAnsi="Minion Pro Capt"/>
          <w:color w:val="000000"/>
        </w:rPr>
        <w:t>,</w:t>
      </w:r>
      <w:r w:rsidRPr="0096631F">
        <w:rPr>
          <w:rFonts w:ascii="Minion Pro Capt" w:hAnsi="Minion Pro Capt"/>
          <w:i/>
          <w:iCs/>
          <w:color w:val="000000"/>
        </w:rPr>
        <w:t xml:space="preserve"> Biochemical and Nutritional Aspects of Trace Elements</w:t>
      </w:r>
      <w:r w:rsidRPr="0096631F">
        <w:rPr>
          <w:rFonts w:ascii="Minion Pro Capt" w:hAnsi="Minion Pro Capt"/>
          <w:color w:val="000000"/>
        </w:rPr>
        <w:t>, Alan R. Liss, Inc., New York, 5-15.</w:t>
      </w:r>
    </w:p>
    <w:p w14:paraId="0BAF7593" w14:textId="77777777" w:rsidR="0096631F" w:rsidRPr="0096631F"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 xml:space="preserve">Giambastiani, B.M.S. </w:t>
      </w:r>
      <w:r w:rsidRPr="0096631F">
        <w:rPr>
          <w:rFonts w:ascii="Minion Pro Capt" w:hAnsi="Minion Pro Capt" w:hint="eastAsia"/>
          <w:color w:val="000000"/>
        </w:rPr>
        <w:t>(</w:t>
      </w:r>
      <w:r w:rsidRPr="0096631F">
        <w:rPr>
          <w:rFonts w:ascii="Minion Pro Capt" w:hAnsi="Minion Pro Capt"/>
          <w:color w:val="000000"/>
        </w:rPr>
        <w:t>2007</w:t>
      </w:r>
      <w:r w:rsidRPr="0096631F">
        <w:rPr>
          <w:rFonts w:ascii="Minion Pro Capt" w:hAnsi="Minion Pro Capt" w:hint="eastAsia"/>
          <w:color w:val="000000"/>
        </w:rPr>
        <w:t>)</w:t>
      </w:r>
      <w:r w:rsidRPr="0096631F">
        <w:rPr>
          <w:rFonts w:ascii="Minion Pro Capt" w:hAnsi="Minion Pro Capt"/>
          <w:color w:val="000000"/>
        </w:rPr>
        <w:t xml:space="preserve"> Evoluzione Idrologica ed Idrogeologica Della Pineta di san Vitale (Ravenna)</w:t>
      </w:r>
      <w:r w:rsidRPr="0096631F">
        <w:rPr>
          <w:rFonts w:ascii="Minion Pro Capt" w:hAnsi="Minion Pro Capt" w:hint="eastAsia"/>
          <w:color w:val="000000"/>
        </w:rPr>
        <w:t>.</w:t>
      </w:r>
      <w:r w:rsidRPr="0096631F">
        <w:rPr>
          <w:rFonts w:ascii="Minion Pro Capt" w:hAnsi="Minion Pro Capt"/>
          <w:color w:val="000000"/>
        </w:rPr>
        <w:t xml:space="preserve"> Ph.D. Thesis, Bologna University, Bologna.</w:t>
      </w:r>
    </w:p>
    <w:p w14:paraId="653E4C36" w14:textId="77777777" w:rsidR="0096631F" w:rsidRPr="0096631F"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 xml:space="preserve">Wu, J.K. </w:t>
      </w:r>
      <w:r w:rsidRPr="0096631F">
        <w:rPr>
          <w:rFonts w:ascii="Minion Pro Capt" w:hAnsi="Minion Pro Capt" w:hint="eastAsia"/>
          <w:color w:val="000000"/>
        </w:rPr>
        <w:t>(</w:t>
      </w:r>
      <w:r w:rsidRPr="0096631F">
        <w:rPr>
          <w:rFonts w:ascii="Minion Pro Capt" w:hAnsi="Minion Pro Capt"/>
          <w:color w:val="000000"/>
        </w:rPr>
        <w:t>1994</w:t>
      </w:r>
      <w:r w:rsidRPr="0096631F">
        <w:rPr>
          <w:rFonts w:ascii="Minion Pro Capt" w:hAnsi="Minion Pro Capt" w:hint="eastAsia"/>
          <w:color w:val="000000"/>
        </w:rPr>
        <w:t>)</w:t>
      </w:r>
      <w:r w:rsidRPr="0096631F">
        <w:rPr>
          <w:rFonts w:ascii="Minion Pro Capt" w:hAnsi="Minion Pro Capt"/>
          <w:color w:val="000000"/>
        </w:rPr>
        <w:t xml:space="preserve"> Two Problems of Computer Mechanics Program System</w:t>
      </w:r>
      <w:r w:rsidRPr="0096631F">
        <w:rPr>
          <w:rFonts w:ascii="Minion Pro Capt" w:hAnsi="Minion Pro Capt" w:hint="eastAsia"/>
          <w:color w:val="000000"/>
        </w:rPr>
        <w:t>.</w:t>
      </w:r>
      <w:r w:rsidRPr="0096631F">
        <w:rPr>
          <w:rFonts w:ascii="Minion Pro Capt" w:hAnsi="Minion Pro Capt"/>
          <w:color w:val="000000"/>
        </w:rPr>
        <w:t xml:space="preserve"> </w:t>
      </w:r>
      <w:r w:rsidRPr="0096631F">
        <w:rPr>
          <w:rFonts w:ascii="Minion Pro Capt" w:hAnsi="Minion Pro Capt"/>
          <w:i/>
          <w:iCs/>
          <w:color w:val="000000"/>
        </w:rPr>
        <w:t>Proceedings of Finite Element Analysis and CAD</w:t>
      </w:r>
      <w:r w:rsidRPr="0096631F">
        <w:rPr>
          <w:rFonts w:ascii="Minion Pro Capt" w:hAnsi="Minion Pro Capt"/>
          <w:color w:val="000000"/>
        </w:rPr>
        <w:t>, Peking University Press, Beijing, 9-15.</w:t>
      </w:r>
    </w:p>
    <w:p w14:paraId="21FE9C38" w14:textId="77777777" w:rsidR="0096631F" w:rsidRPr="0096631F"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 xml:space="preserve">Honeycutt, L. </w:t>
      </w:r>
      <w:r w:rsidRPr="0096631F">
        <w:rPr>
          <w:rFonts w:ascii="Minion Pro Capt" w:hAnsi="Minion Pro Capt" w:hint="eastAsia"/>
          <w:color w:val="000000"/>
        </w:rPr>
        <w:t xml:space="preserve">(1998) </w:t>
      </w:r>
      <w:r w:rsidRPr="0096631F">
        <w:rPr>
          <w:rFonts w:ascii="Minion Pro Capt" w:hAnsi="Minion Pro Capt"/>
          <w:color w:val="000000"/>
        </w:rPr>
        <w:t>Communication and Design Course</w:t>
      </w:r>
      <w:r w:rsidRPr="0096631F">
        <w:rPr>
          <w:rFonts w:ascii="Minion Pro Capt" w:hAnsi="Minion Pro Capt" w:hint="eastAsia"/>
          <w:color w:val="000000"/>
        </w:rPr>
        <w:t>.</w:t>
      </w:r>
      <w:r w:rsidRPr="0096631F">
        <w:rPr>
          <w:rFonts w:ascii="Minion Pro Capt" w:hAnsi="Minion Pro Capt"/>
          <w:color w:val="000000"/>
        </w:rPr>
        <w:t xml:space="preserve"> </w:t>
      </w:r>
      <w:r w:rsidRPr="0096631F">
        <w:rPr>
          <w:rFonts w:ascii="Minion Pro Capt" w:hAnsi="Minion Pro Capt" w:hint="eastAsia"/>
          <w:color w:val="000000"/>
        </w:rPr>
        <w:br/>
      </w:r>
      <w:hyperlink r:id="rId18" w:history="1">
        <w:r w:rsidRPr="0096631F">
          <w:rPr>
            <w:rStyle w:val="a3"/>
            <w:rFonts w:ascii="Minion Pro Capt" w:hAnsi="Minion Pro Capt"/>
          </w:rPr>
          <w:t>http://dcr.rpi.edu/commdesign/class1.html</w:t>
        </w:r>
      </w:hyperlink>
    </w:p>
    <w:p w14:paraId="3FBBD9B3" w14:textId="77777777" w:rsidR="00FF3EFA" w:rsidRPr="008232A0" w:rsidRDefault="0096631F" w:rsidP="00C70031">
      <w:pPr>
        <w:widowControl w:val="0"/>
        <w:numPr>
          <w:ilvl w:val="0"/>
          <w:numId w:val="4"/>
        </w:numPr>
        <w:overflowPunct w:val="0"/>
        <w:adjustRightInd w:val="0"/>
        <w:snapToGrid w:val="0"/>
        <w:spacing w:afterLines="30" w:after="72"/>
        <w:outlineLvl w:val="3"/>
        <w:rPr>
          <w:rFonts w:ascii="Minion Pro Capt" w:hAnsi="Minion Pro Capt"/>
          <w:color w:val="000000"/>
        </w:rPr>
      </w:pPr>
      <w:r w:rsidRPr="0096631F">
        <w:rPr>
          <w:rFonts w:ascii="Minion Pro Capt" w:hAnsi="Minion Pro Capt"/>
          <w:color w:val="000000"/>
        </w:rPr>
        <w:t xml:space="preserve">Wright and Wright, W. </w:t>
      </w:r>
      <w:r w:rsidRPr="0096631F">
        <w:rPr>
          <w:rFonts w:ascii="Minion Pro Capt" w:hAnsi="Minion Pro Capt" w:hint="eastAsia"/>
          <w:color w:val="000000"/>
        </w:rPr>
        <w:t xml:space="preserve">(1906) </w:t>
      </w:r>
      <w:r w:rsidRPr="0096631F">
        <w:rPr>
          <w:rFonts w:ascii="Minion Pro Capt" w:hAnsi="Minion Pro Capt"/>
          <w:color w:val="000000"/>
        </w:rPr>
        <w:t>Flying-Machine</w:t>
      </w:r>
      <w:r w:rsidRPr="0096631F">
        <w:rPr>
          <w:rFonts w:ascii="Minion Pro Capt" w:hAnsi="Minion Pro Capt" w:hint="eastAsia"/>
          <w:color w:val="000000"/>
        </w:rPr>
        <w:t>.</w:t>
      </w:r>
      <w:r w:rsidRPr="0096631F">
        <w:rPr>
          <w:rFonts w:ascii="Minion Pro Capt" w:hAnsi="Minion Pro Capt"/>
          <w:color w:val="000000"/>
        </w:rPr>
        <w:t xml:space="preserve"> US Patent No. 821393.</w:t>
      </w:r>
    </w:p>
    <w:p w14:paraId="249B7B33" w14:textId="77777777" w:rsidR="004B5800" w:rsidRDefault="004B5800" w:rsidP="004B5800">
      <w:pPr>
        <w:widowControl w:val="0"/>
        <w:overflowPunct w:val="0"/>
        <w:adjustRightInd w:val="0"/>
        <w:snapToGrid w:val="0"/>
        <w:outlineLvl w:val="3"/>
        <w:rPr>
          <w:rFonts w:ascii="Minion Pro Capt" w:hAnsi="Minion Pro Capt"/>
          <w:color w:val="000000"/>
          <w:lang w:eastAsia="zh-CN"/>
        </w:rPr>
      </w:pPr>
    </w:p>
    <w:sectPr w:rsidR="004B5800" w:rsidSect="00361E50">
      <w:headerReference w:type="even" r:id="rId19"/>
      <w:headerReference w:type="default" r:id="rId20"/>
      <w:footerReference w:type="even" r:id="rId21"/>
      <w:footerReference w:type="default" r:id="rId22"/>
      <w:headerReference w:type="first" r:id="rId23"/>
      <w:footerReference w:type="first" r:id="rId24"/>
      <w:pgSz w:w="11907" w:h="16160" w:code="1"/>
      <w:pgMar w:top="1418" w:right="1134" w:bottom="1418" w:left="1134" w:header="1134"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4CF9" w14:textId="77777777" w:rsidR="008A1AA7" w:rsidRDefault="008A1AA7">
      <w:r>
        <w:separator/>
      </w:r>
    </w:p>
  </w:endnote>
  <w:endnote w:type="continuationSeparator" w:id="0">
    <w:p w14:paraId="1FD4E50A" w14:textId="77777777" w:rsidR="008A1AA7" w:rsidRDefault="008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微软雅黑"/>
    <w:charset w:val="86"/>
    <w:family w:val="swiss"/>
    <w:pitch w:val="default"/>
    <w:sig w:usb0="00000000" w:usb1="00000000" w:usb2="00000010" w:usb3="00000000" w:csb0="00040000" w:csb1="00000000"/>
  </w:font>
  <w:font w:name="Nimbus Roman No9 L">
    <w:altName w:val="微软雅黑"/>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3" w:usb1="00000000" w:usb2="00000000" w:usb3="00000000" w:csb0="00000003" w:csb1="00000000"/>
  </w:font>
  <w:font w:name="Arial Unicode MS">
    <w:altName w:val="Adobe 黑体 Std R"/>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Pro Capt">
    <w:panose1 w:val="02040503050201020203"/>
    <w:charset w:val="00"/>
    <w:family w:val="roman"/>
    <w:notTrueType/>
    <w:pitch w:val="variable"/>
    <w:sig w:usb0="E00002AF" w:usb1="5000E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CB05" w14:textId="77777777" w:rsidR="001D5EF3" w:rsidRDefault="001D5EF3" w:rsidP="001E7B64">
    <w:pPr>
      <w:pStyle w:val="a6"/>
    </w:pPr>
  </w:p>
  <w:tbl>
    <w:tblPr>
      <w:tblStyle w:val="ae"/>
      <w:tblW w:w="9645"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1889"/>
      <w:gridCol w:w="3878"/>
    </w:tblGrid>
    <w:tr w:rsidR="001D5EF3" w:rsidRPr="001D6747" w14:paraId="2AE3CAF3" w14:textId="77777777" w:rsidTr="00E64879">
      <w:trPr>
        <w:trHeight w:val="340"/>
        <w:jc w:val="center"/>
      </w:trPr>
      <w:tc>
        <w:tcPr>
          <w:tcW w:w="3878" w:type="dxa"/>
          <w:vAlign w:val="center"/>
        </w:tcPr>
        <w:p w14:paraId="568A683D" w14:textId="30D4763C" w:rsidR="001D5EF3" w:rsidRPr="001D6747" w:rsidRDefault="000560FA" w:rsidP="00E64879">
          <w:pPr>
            <w:pStyle w:val="a6"/>
            <w:rPr>
              <w:rFonts w:asciiTheme="minorHAnsi" w:hAnsiTheme="minorHAnsi" w:cstheme="minorHAnsi"/>
              <w:noProof/>
              <w:color w:val="BF1F3D"/>
              <w:sz w:val="22"/>
              <w:szCs w:val="22"/>
              <w:lang w:val="en-GB" w:eastAsia="zh-CN"/>
            </w:rPr>
          </w:pPr>
          <w:hyperlink r:id="rId1" w:history="1">
            <w:r>
              <w:rPr>
                <w:rStyle w:val="a3"/>
                <w:rFonts w:asciiTheme="minorHAnsi" w:hAnsiTheme="minorHAnsi" w:cs="Calibri"/>
                <w:color w:val="BF1F3D"/>
                <w:sz w:val="22"/>
                <w:szCs w:val="22"/>
                <w:u w:val="none"/>
                <w:lang w:eastAsia="zh-CN"/>
              </w:rPr>
              <w:t>https://doi.org/10.4236/***.2026.*****</w:t>
            </w:r>
          </w:hyperlink>
        </w:p>
      </w:tc>
      <w:tc>
        <w:tcPr>
          <w:tcW w:w="1889" w:type="dxa"/>
          <w:vAlign w:val="center"/>
        </w:tcPr>
        <w:p w14:paraId="16CDDBE2" w14:textId="77777777" w:rsidR="001D5EF3" w:rsidRPr="001D6747" w:rsidRDefault="001632FF" w:rsidP="00E64879">
          <w:pPr>
            <w:pStyle w:val="a6"/>
            <w:jc w:val="center"/>
            <w:rPr>
              <w:rFonts w:asciiTheme="minorHAnsi" w:hAnsiTheme="minorHAnsi"/>
              <w:sz w:val="22"/>
              <w:szCs w:val="22"/>
              <w:lang w:eastAsia="zh-CN"/>
            </w:rPr>
          </w:pPr>
          <w:r w:rsidRPr="001D6747">
            <w:rPr>
              <w:rFonts w:asciiTheme="minorHAnsi" w:hAnsiTheme="minorHAnsi" w:cs="Cambria"/>
              <w:color w:val="000000" w:themeColor="text1"/>
              <w:sz w:val="22"/>
              <w:szCs w:val="22"/>
            </w:rPr>
            <w:fldChar w:fldCharType="begin"/>
          </w:r>
          <w:r w:rsidR="001D5EF3" w:rsidRPr="001D6747">
            <w:rPr>
              <w:rFonts w:asciiTheme="minorHAnsi" w:hAnsiTheme="minorHAnsi" w:cs="Cambria"/>
              <w:color w:val="000000" w:themeColor="text1"/>
              <w:sz w:val="22"/>
              <w:szCs w:val="22"/>
            </w:rPr>
            <w:instrText xml:space="preserve"> PAGE  \* MERGEFORMAT </w:instrText>
          </w:r>
          <w:r w:rsidRPr="001D6747">
            <w:rPr>
              <w:rFonts w:asciiTheme="minorHAnsi" w:hAnsiTheme="minorHAnsi" w:cs="Cambria"/>
              <w:color w:val="000000" w:themeColor="text1"/>
              <w:sz w:val="22"/>
              <w:szCs w:val="22"/>
            </w:rPr>
            <w:fldChar w:fldCharType="separate"/>
          </w:r>
          <w:r w:rsidR="00C70031" w:rsidRPr="00C70031">
            <w:rPr>
              <w:rFonts w:asciiTheme="minorHAnsi" w:hAnsiTheme="minorHAnsi" w:cs="Cambria"/>
              <w:noProof/>
              <w:color w:val="000000" w:themeColor="text1"/>
              <w:sz w:val="22"/>
              <w:szCs w:val="22"/>
              <w:lang w:val="zh-CN"/>
            </w:rPr>
            <w:t>4</w:t>
          </w:r>
          <w:r w:rsidRPr="001D6747">
            <w:rPr>
              <w:rFonts w:asciiTheme="minorHAnsi" w:hAnsiTheme="minorHAnsi" w:cs="Cambria"/>
              <w:color w:val="000000" w:themeColor="text1"/>
              <w:sz w:val="22"/>
              <w:szCs w:val="22"/>
            </w:rPr>
            <w:fldChar w:fldCharType="end"/>
          </w:r>
        </w:p>
      </w:tc>
      <w:tc>
        <w:tcPr>
          <w:tcW w:w="3878" w:type="dxa"/>
          <w:vAlign w:val="center"/>
        </w:tcPr>
        <w:p w14:paraId="727919E8" w14:textId="77777777" w:rsidR="001D5EF3" w:rsidRPr="001D6747" w:rsidRDefault="001D5EF3" w:rsidP="00E64879">
          <w:pPr>
            <w:pStyle w:val="a6"/>
            <w:jc w:val="right"/>
            <w:rPr>
              <w:rFonts w:asciiTheme="minorHAnsi" w:hAnsiTheme="minorHAnsi"/>
              <w:color w:val="BF1F3D"/>
              <w:sz w:val="22"/>
              <w:szCs w:val="22"/>
              <w:lang w:eastAsia="zh-CN"/>
            </w:rPr>
          </w:pPr>
          <w:r w:rsidRPr="001D6747">
            <w:rPr>
              <w:rFonts w:asciiTheme="minorHAnsi" w:hAnsiTheme="minorHAnsi" w:cstheme="minorHAnsi"/>
              <w:bCs/>
              <w:iCs/>
              <w:noProof/>
              <w:color w:val="BF1F3D"/>
              <w:sz w:val="22"/>
              <w:szCs w:val="22"/>
              <w:lang w:val="en-GB" w:eastAsia="zh-CN"/>
            </w:rPr>
            <w:t>Natural Science</w:t>
          </w:r>
        </w:p>
      </w:tc>
    </w:tr>
  </w:tbl>
  <w:p w14:paraId="7FED94E1" w14:textId="77777777" w:rsidR="001D5EF3" w:rsidRPr="001E7B64" w:rsidRDefault="001D5EF3" w:rsidP="001E7B6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FD94" w14:textId="77777777" w:rsidR="001D5EF3" w:rsidRDefault="001D5EF3" w:rsidP="001E7B64">
    <w:pPr>
      <w:pStyle w:val="a6"/>
    </w:pPr>
  </w:p>
  <w:tbl>
    <w:tblPr>
      <w:tblStyle w:val="ae"/>
      <w:tblW w:w="9645"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1889"/>
      <w:gridCol w:w="3878"/>
    </w:tblGrid>
    <w:tr w:rsidR="001D5EF3" w:rsidRPr="001D6747" w14:paraId="61F1FDA6" w14:textId="77777777" w:rsidTr="00E64879">
      <w:trPr>
        <w:trHeight w:val="340"/>
        <w:jc w:val="center"/>
      </w:trPr>
      <w:tc>
        <w:tcPr>
          <w:tcW w:w="3878" w:type="dxa"/>
          <w:vAlign w:val="center"/>
        </w:tcPr>
        <w:p w14:paraId="5BC2DB8C" w14:textId="68AB70E4" w:rsidR="001D5EF3" w:rsidRPr="001D6747" w:rsidRDefault="000560FA" w:rsidP="00F674AA">
          <w:pPr>
            <w:pStyle w:val="a6"/>
            <w:adjustRightInd w:val="0"/>
            <w:rPr>
              <w:rFonts w:asciiTheme="minorHAnsi" w:hAnsiTheme="minorHAnsi" w:cstheme="minorHAnsi"/>
              <w:noProof/>
              <w:color w:val="BF1F3D"/>
              <w:sz w:val="22"/>
              <w:szCs w:val="22"/>
              <w:lang w:val="en-GB" w:eastAsia="zh-CN"/>
            </w:rPr>
          </w:pPr>
          <w:hyperlink r:id="rId1" w:history="1">
            <w:r>
              <w:rPr>
                <w:rStyle w:val="a3"/>
                <w:rFonts w:asciiTheme="minorHAnsi" w:hAnsiTheme="minorHAnsi" w:cs="Calibri"/>
                <w:color w:val="BF1F3D"/>
                <w:sz w:val="22"/>
                <w:szCs w:val="22"/>
                <w:u w:val="none"/>
                <w:lang w:eastAsia="zh-CN"/>
              </w:rPr>
              <w:t>https://doi.org/10.4236/***.2026.*****</w:t>
            </w:r>
          </w:hyperlink>
        </w:p>
      </w:tc>
      <w:tc>
        <w:tcPr>
          <w:tcW w:w="1889" w:type="dxa"/>
          <w:vAlign w:val="center"/>
        </w:tcPr>
        <w:p w14:paraId="5D6D8052" w14:textId="77777777" w:rsidR="001D5EF3" w:rsidRPr="001D6747" w:rsidRDefault="001632FF" w:rsidP="00F674AA">
          <w:pPr>
            <w:pStyle w:val="a6"/>
            <w:adjustRightInd w:val="0"/>
            <w:jc w:val="center"/>
            <w:rPr>
              <w:rFonts w:asciiTheme="minorHAnsi" w:hAnsiTheme="minorHAnsi"/>
              <w:sz w:val="22"/>
              <w:szCs w:val="22"/>
              <w:lang w:eastAsia="zh-CN"/>
            </w:rPr>
          </w:pPr>
          <w:r w:rsidRPr="001D6747">
            <w:rPr>
              <w:rFonts w:asciiTheme="minorHAnsi" w:hAnsiTheme="minorHAnsi" w:cs="Cambria"/>
              <w:color w:val="000000" w:themeColor="text1"/>
              <w:sz w:val="22"/>
              <w:szCs w:val="22"/>
            </w:rPr>
            <w:fldChar w:fldCharType="begin"/>
          </w:r>
          <w:r w:rsidR="001D5EF3" w:rsidRPr="001D6747">
            <w:rPr>
              <w:rFonts w:asciiTheme="minorHAnsi" w:hAnsiTheme="minorHAnsi" w:cs="Cambria"/>
              <w:color w:val="000000" w:themeColor="text1"/>
              <w:sz w:val="22"/>
              <w:szCs w:val="22"/>
            </w:rPr>
            <w:instrText xml:space="preserve"> PAGE  \* MERGEFORMAT </w:instrText>
          </w:r>
          <w:r w:rsidRPr="001D6747">
            <w:rPr>
              <w:rFonts w:asciiTheme="minorHAnsi" w:hAnsiTheme="minorHAnsi" w:cs="Cambria"/>
              <w:color w:val="000000" w:themeColor="text1"/>
              <w:sz w:val="22"/>
              <w:szCs w:val="22"/>
            </w:rPr>
            <w:fldChar w:fldCharType="separate"/>
          </w:r>
          <w:r w:rsidR="00C70031" w:rsidRPr="00C70031">
            <w:rPr>
              <w:rFonts w:asciiTheme="minorHAnsi" w:hAnsiTheme="minorHAnsi" w:cs="Cambria"/>
              <w:noProof/>
              <w:color w:val="000000" w:themeColor="text1"/>
              <w:sz w:val="22"/>
              <w:szCs w:val="22"/>
              <w:lang w:val="zh-CN"/>
            </w:rPr>
            <w:t>3</w:t>
          </w:r>
          <w:r w:rsidRPr="001D6747">
            <w:rPr>
              <w:rFonts w:asciiTheme="minorHAnsi" w:hAnsiTheme="minorHAnsi" w:cs="Cambria"/>
              <w:color w:val="000000" w:themeColor="text1"/>
              <w:sz w:val="22"/>
              <w:szCs w:val="22"/>
            </w:rPr>
            <w:fldChar w:fldCharType="end"/>
          </w:r>
        </w:p>
      </w:tc>
      <w:tc>
        <w:tcPr>
          <w:tcW w:w="3878" w:type="dxa"/>
          <w:vAlign w:val="center"/>
        </w:tcPr>
        <w:p w14:paraId="4CE0AA4C" w14:textId="77777777" w:rsidR="001D5EF3" w:rsidRPr="001D6747" w:rsidRDefault="001D5EF3" w:rsidP="00F674AA">
          <w:pPr>
            <w:pStyle w:val="a6"/>
            <w:adjustRightInd w:val="0"/>
            <w:jc w:val="right"/>
            <w:rPr>
              <w:rFonts w:asciiTheme="minorHAnsi" w:hAnsiTheme="minorHAnsi"/>
              <w:color w:val="BF1F3D"/>
              <w:sz w:val="22"/>
              <w:szCs w:val="22"/>
              <w:lang w:eastAsia="zh-CN"/>
            </w:rPr>
          </w:pPr>
          <w:r w:rsidRPr="001D6747">
            <w:rPr>
              <w:rFonts w:asciiTheme="minorHAnsi" w:hAnsiTheme="minorHAnsi" w:cstheme="minorHAnsi"/>
              <w:bCs/>
              <w:iCs/>
              <w:noProof/>
              <w:color w:val="BF1F3D"/>
              <w:sz w:val="22"/>
              <w:szCs w:val="22"/>
              <w:lang w:val="en-GB" w:eastAsia="zh-CN"/>
            </w:rPr>
            <w:t>Natural Science</w:t>
          </w:r>
        </w:p>
      </w:tc>
    </w:tr>
  </w:tbl>
  <w:p w14:paraId="1B9CB38E" w14:textId="77777777" w:rsidR="001D5EF3" w:rsidRDefault="001D5E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38CE" w14:textId="77777777" w:rsidR="001D5EF3" w:rsidRDefault="001D5EF3" w:rsidP="00034DD0">
    <w:pPr>
      <w:pStyle w:val="a6"/>
      <w:rPr>
        <w:rFonts w:asciiTheme="minorHAnsi" w:hAnsiTheme="minorHAnsi"/>
        <w:lang w:eastAsia="zh-CN"/>
      </w:rPr>
    </w:pPr>
  </w:p>
  <w:tbl>
    <w:tblPr>
      <w:tblStyle w:val="ae"/>
      <w:tblW w:w="9645" w:type="dxa"/>
      <w:jc w:val="center"/>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1889"/>
      <w:gridCol w:w="3878"/>
    </w:tblGrid>
    <w:tr w:rsidR="001D5EF3" w:rsidRPr="001D6747" w14:paraId="3D5CD41B" w14:textId="77777777" w:rsidTr="0017302A">
      <w:trPr>
        <w:trHeight w:val="340"/>
        <w:jc w:val="center"/>
      </w:trPr>
      <w:tc>
        <w:tcPr>
          <w:tcW w:w="3878" w:type="dxa"/>
          <w:vAlign w:val="center"/>
        </w:tcPr>
        <w:p w14:paraId="062B03CB" w14:textId="33EFBC13" w:rsidR="001D5EF3" w:rsidRPr="00CD31A8" w:rsidRDefault="00F51CA6" w:rsidP="00034DD0">
          <w:pPr>
            <w:pStyle w:val="a6"/>
            <w:rPr>
              <w:rFonts w:asciiTheme="minorHAnsi" w:hAnsiTheme="minorHAnsi" w:cstheme="minorHAnsi"/>
              <w:noProof/>
              <w:color w:val="BF1F3D"/>
              <w:sz w:val="22"/>
              <w:szCs w:val="22"/>
              <w:lang w:val="en-GB" w:eastAsia="zh-CN"/>
            </w:rPr>
          </w:pPr>
          <w:hyperlink r:id="rId1" w:history="1">
            <w:r w:rsidR="000560FA">
              <w:rPr>
                <w:rStyle w:val="a3"/>
                <w:rFonts w:asciiTheme="minorHAnsi" w:hAnsiTheme="minorHAnsi" w:cs="Calibri"/>
                <w:color w:val="BF1F3D"/>
                <w:sz w:val="22"/>
                <w:szCs w:val="22"/>
                <w:u w:val="none"/>
                <w:lang w:eastAsia="zh-CN"/>
              </w:rPr>
              <w:t>https://doi.org/10.4236/***.2026.*****</w:t>
            </w:r>
          </w:hyperlink>
        </w:p>
      </w:tc>
      <w:tc>
        <w:tcPr>
          <w:tcW w:w="1889" w:type="dxa"/>
          <w:vAlign w:val="center"/>
        </w:tcPr>
        <w:p w14:paraId="3B3D24C4" w14:textId="77777777" w:rsidR="001D5EF3" w:rsidRPr="001D6747" w:rsidRDefault="001632FF" w:rsidP="00034DD0">
          <w:pPr>
            <w:pStyle w:val="a6"/>
            <w:jc w:val="center"/>
            <w:rPr>
              <w:rFonts w:asciiTheme="minorHAnsi" w:hAnsiTheme="minorHAnsi"/>
              <w:sz w:val="22"/>
              <w:szCs w:val="22"/>
              <w:lang w:eastAsia="zh-CN"/>
            </w:rPr>
          </w:pPr>
          <w:r w:rsidRPr="001D6747">
            <w:rPr>
              <w:rFonts w:asciiTheme="minorHAnsi" w:hAnsiTheme="minorHAnsi" w:cs="Cambria"/>
              <w:color w:val="000000" w:themeColor="text1"/>
              <w:sz w:val="22"/>
              <w:szCs w:val="22"/>
            </w:rPr>
            <w:fldChar w:fldCharType="begin"/>
          </w:r>
          <w:r w:rsidR="001D5EF3" w:rsidRPr="001D6747">
            <w:rPr>
              <w:rFonts w:asciiTheme="minorHAnsi" w:hAnsiTheme="minorHAnsi" w:cs="Cambria"/>
              <w:color w:val="000000" w:themeColor="text1"/>
              <w:sz w:val="22"/>
              <w:szCs w:val="22"/>
            </w:rPr>
            <w:instrText xml:space="preserve"> PAGE  \* MERGEFORMAT </w:instrText>
          </w:r>
          <w:r w:rsidRPr="001D6747">
            <w:rPr>
              <w:rFonts w:asciiTheme="minorHAnsi" w:hAnsiTheme="minorHAnsi" w:cs="Cambria"/>
              <w:color w:val="000000" w:themeColor="text1"/>
              <w:sz w:val="22"/>
              <w:szCs w:val="22"/>
            </w:rPr>
            <w:fldChar w:fldCharType="separate"/>
          </w:r>
          <w:r w:rsidR="00C70031" w:rsidRPr="00C70031">
            <w:rPr>
              <w:rFonts w:asciiTheme="minorHAnsi" w:hAnsiTheme="minorHAnsi" w:cs="Cambria"/>
              <w:noProof/>
              <w:color w:val="000000" w:themeColor="text1"/>
              <w:sz w:val="22"/>
              <w:szCs w:val="22"/>
              <w:lang w:val="zh-CN"/>
            </w:rPr>
            <w:t>1</w:t>
          </w:r>
          <w:r w:rsidRPr="001D6747">
            <w:rPr>
              <w:rFonts w:asciiTheme="minorHAnsi" w:hAnsiTheme="minorHAnsi" w:cs="Cambria"/>
              <w:color w:val="000000" w:themeColor="text1"/>
              <w:sz w:val="22"/>
              <w:szCs w:val="22"/>
            </w:rPr>
            <w:fldChar w:fldCharType="end"/>
          </w:r>
        </w:p>
      </w:tc>
      <w:tc>
        <w:tcPr>
          <w:tcW w:w="3878" w:type="dxa"/>
          <w:vAlign w:val="center"/>
        </w:tcPr>
        <w:p w14:paraId="33B83883" w14:textId="77777777" w:rsidR="001D5EF3" w:rsidRPr="001D6747" w:rsidRDefault="001D5EF3" w:rsidP="00034DD0">
          <w:pPr>
            <w:pStyle w:val="a6"/>
            <w:jc w:val="right"/>
            <w:rPr>
              <w:rFonts w:asciiTheme="minorHAnsi" w:hAnsiTheme="minorHAnsi"/>
              <w:color w:val="BF1F3D"/>
              <w:sz w:val="22"/>
              <w:szCs w:val="22"/>
              <w:lang w:eastAsia="zh-CN"/>
            </w:rPr>
          </w:pPr>
          <w:r w:rsidRPr="001D6747">
            <w:rPr>
              <w:rFonts w:asciiTheme="minorHAnsi" w:hAnsiTheme="minorHAnsi" w:cstheme="minorHAnsi"/>
              <w:bCs/>
              <w:iCs/>
              <w:noProof/>
              <w:color w:val="BF1F3D"/>
              <w:sz w:val="22"/>
              <w:szCs w:val="22"/>
              <w:lang w:val="en-GB" w:eastAsia="zh-CN"/>
            </w:rPr>
            <w:t>Natural Science</w:t>
          </w:r>
        </w:p>
      </w:tc>
    </w:tr>
  </w:tbl>
  <w:p w14:paraId="2D41D378" w14:textId="77777777" w:rsidR="001D5EF3" w:rsidRPr="00614236" w:rsidRDefault="001D5EF3" w:rsidP="00034DD0">
    <w:pPr>
      <w:pStyle w:val="a6"/>
      <w:rPr>
        <w:rFonts w:asciiTheme="minorHAnsi" w:hAnsiTheme="minorHAnsi"/>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5359" w14:textId="77777777" w:rsidR="008A1AA7" w:rsidRDefault="008A1AA7">
      <w:r>
        <w:separator/>
      </w:r>
    </w:p>
  </w:footnote>
  <w:footnote w:type="continuationSeparator" w:id="0">
    <w:p w14:paraId="1B9444DC" w14:textId="77777777" w:rsidR="008A1AA7" w:rsidRDefault="008A1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3C0E" w14:textId="77777777" w:rsidR="001D5EF3" w:rsidRPr="00BE24C3" w:rsidRDefault="001D5EF3" w:rsidP="00C70031">
    <w:pPr>
      <w:adjustRightInd w:val="0"/>
      <w:snapToGrid w:val="0"/>
      <w:spacing w:afterLines="50" w:after="120"/>
      <w:jc w:val="right"/>
      <w:rPr>
        <w:lang w:eastAsia="zh-CN"/>
      </w:rPr>
    </w:pPr>
    <w:bookmarkStart w:id="4" w:name="_Hlk454796744"/>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1225" w14:textId="77777777" w:rsidR="001D5EF3" w:rsidRPr="00E93439" w:rsidRDefault="001D5EF3" w:rsidP="00C70031">
    <w:pPr>
      <w:spacing w:afterLines="50" w:after="120"/>
      <w:jc w:val="right"/>
      <w:rPr>
        <w:caps/>
        <w:color w:val="31849B" w:themeColor="accent5" w:themeShade="BF"/>
        <w:sz w:val="18"/>
        <w:szCs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1F3D"/>
      <w:tblLook w:val="04A0" w:firstRow="1" w:lastRow="0" w:firstColumn="1" w:lastColumn="0" w:noHBand="0" w:noVBand="1"/>
    </w:tblPr>
    <w:tblGrid>
      <w:gridCol w:w="4438"/>
      <w:gridCol w:w="5201"/>
    </w:tblGrid>
    <w:tr w:rsidR="001D5EF3" w:rsidRPr="001D6747" w14:paraId="4B91A0CA" w14:textId="77777777" w:rsidTr="001D6747">
      <w:trPr>
        <w:trHeight w:val="454"/>
        <w:jc w:val="center"/>
      </w:trPr>
      <w:tc>
        <w:tcPr>
          <w:tcW w:w="4438" w:type="dxa"/>
          <w:shd w:val="clear" w:color="auto" w:fill="BF1F3D"/>
          <w:vAlign w:val="center"/>
        </w:tcPr>
        <w:p w14:paraId="701A8BFA" w14:textId="77777777" w:rsidR="001D5EF3" w:rsidRPr="001D6747" w:rsidRDefault="008C06CD" w:rsidP="00DC59FC">
          <w:pPr>
            <w:adjustRightInd w:val="0"/>
            <w:snapToGrid w:val="0"/>
            <w:rPr>
              <w:rFonts w:asciiTheme="minorHAnsi" w:hAnsiTheme="minorHAnsi" w:cstheme="minorHAnsi"/>
              <w:b/>
              <w:noProof/>
              <w:color w:val="FFFFFF" w:themeColor="background1"/>
              <w:sz w:val="22"/>
              <w:szCs w:val="22"/>
              <w:lang w:eastAsia="zh-CN"/>
            </w:rPr>
          </w:pPr>
          <w:hyperlink r:id="rId1" w:history="1">
            <w:r>
              <w:rPr>
                <w:rStyle w:val="a3"/>
                <w:rFonts w:asciiTheme="minorHAnsi" w:hAnsiTheme="minorHAnsi" w:cstheme="minorHAnsi" w:hint="eastAsia"/>
                <w:b/>
                <w:noProof/>
                <w:color w:val="FFFFFF" w:themeColor="background1"/>
                <w:sz w:val="22"/>
                <w:szCs w:val="22"/>
                <w:u w:val="none"/>
                <w:lang w:val="en-GB" w:eastAsia="zh-CN"/>
              </w:rPr>
              <w:t>https://www.scirp.org/journal/ns</w:t>
            </w:r>
          </w:hyperlink>
        </w:p>
      </w:tc>
      <w:tc>
        <w:tcPr>
          <w:tcW w:w="5201" w:type="dxa"/>
          <w:shd w:val="clear" w:color="auto" w:fill="BF1F3D"/>
          <w:vAlign w:val="center"/>
        </w:tcPr>
        <w:p w14:paraId="4578EFBB" w14:textId="70210D80" w:rsidR="001D5EF3" w:rsidRPr="001D6747" w:rsidRDefault="001D5EF3" w:rsidP="000560FA">
          <w:pPr>
            <w:adjustRightInd w:val="0"/>
            <w:snapToGrid w:val="0"/>
            <w:jc w:val="right"/>
            <w:rPr>
              <w:rFonts w:asciiTheme="minorHAnsi" w:hAnsiTheme="minorHAnsi" w:cstheme="minorHAnsi"/>
              <w:noProof/>
              <w:color w:val="FFFFFF" w:themeColor="background1"/>
              <w:sz w:val="22"/>
              <w:szCs w:val="22"/>
              <w:lang w:eastAsia="zh-CN"/>
            </w:rPr>
          </w:pPr>
          <w:r w:rsidRPr="001D6747">
            <w:rPr>
              <w:rFonts w:asciiTheme="minorHAnsi" w:hAnsiTheme="minorHAnsi" w:cstheme="minorHAnsi"/>
              <w:b/>
              <w:bCs/>
              <w:iCs/>
              <w:noProof/>
              <w:color w:val="FFFFFF" w:themeColor="background1"/>
              <w:sz w:val="22"/>
              <w:szCs w:val="22"/>
              <w:lang w:val="en-GB" w:eastAsia="zh-CN"/>
            </w:rPr>
            <w:t>Natural Science</w:t>
          </w:r>
          <w:r w:rsidRPr="001D6747">
            <w:rPr>
              <w:rFonts w:asciiTheme="minorHAnsi" w:hAnsiTheme="minorHAnsi" w:cstheme="minorHAnsi"/>
              <w:b/>
              <w:bCs/>
              <w:noProof/>
              <w:color w:val="FFFFFF" w:themeColor="background1"/>
              <w:sz w:val="22"/>
              <w:szCs w:val="22"/>
              <w:lang w:val="en-GB" w:eastAsia="zh-CN"/>
            </w:rPr>
            <w:t>, 20</w:t>
          </w:r>
          <w:r w:rsidR="008C06CD">
            <w:rPr>
              <w:rFonts w:asciiTheme="minorHAnsi" w:hAnsiTheme="minorHAnsi" w:cstheme="minorHAnsi" w:hint="eastAsia"/>
              <w:b/>
              <w:bCs/>
              <w:noProof/>
              <w:color w:val="FFFFFF" w:themeColor="background1"/>
              <w:sz w:val="22"/>
              <w:szCs w:val="22"/>
              <w:lang w:val="en-GB" w:eastAsia="zh-CN"/>
            </w:rPr>
            <w:t>2</w:t>
          </w:r>
          <w:r w:rsidR="000560FA">
            <w:rPr>
              <w:rFonts w:asciiTheme="minorHAnsi" w:hAnsiTheme="minorHAnsi" w:cstheme="minorHAnsi" w:hint="eastAsia"/>
              <w:b/>
              <w:bCs/>
              <w:noProof/>
              <w:color w:val="FFFFFF" w:themeColor="background1"/>
              <w:sz w:val="22"/>
              <w:szCs w:val="22"/>
              <w:lang w:val="en-GB" w:eastAsia="zh-CN"/>
            </w:rPr>
            <w:t>6</w:t>
          </w:r>
          <w:r w:rsidRPr="001D6747">
            <w:rPr>
              <w:rFonts w:asciiTheme="minorHAnsi" w:hAnsiTheme="minorHAnsi" w:cstheme="minorHAnsi"/>
              <w:b/>
              <w:bCs/>
              <w:noProof/>
              <w:color w:val="FFFFFF" w:themeColor="background1"/>
              <w:sz w:val="22"/>
              <w:szCs w:val="22"/>
              <w:lang w:val="en-GB" w:eastAsia="zh-CN"/>
            </w:rPr>
            <w:t xml:space="preserve">, Vol. </w:t>
          </w:r>
          <w:r w:rsidR="00AC7380" w:rsidRPr="001D6747">
            <w:rPr>
              <w:rFonts w:asciiTheme="minorHAnsi" w:hAnsiTheme="minorHAnsi" w:cstheme="minorHAnsi" w:hint="eastAsia"/>
              <w:b/>
              <w:bCs/>
              <w:noProof/>
              <w:color w:val="FFFFFF" w:themeColor="background1"/>
              <w:sz w:val="22"/>
              <w:szCs w:val="22"/>
              <w:lang w:val="en-GB" w:eastAsia="zh-CN"/>
            </w:rPr>
            <w:t>*</w:t>
          </w:r>
          <w:r w:rsidRPr="001D6747">
            <w:rPr>
              <w:rFonts w:asciiTheme="minorHAnsi" w:hAnsiTheme="minorHAnsi" w:cstheme="minorHAnsi"/>
              <w:b/>
              <w:bCs/>
              <w:noProof/>
              <w:color w:val="FFFFFF" w:themeColor="background1"/>
              <w:sz w:val="22"/>
              <w:szCs w:val="22"/>
              <w:lang w:val="en-GB" w:eastAsia="zh-CN"/>
            </w:rPr>
            <w:t xml:space="preserve">, (No. </w:t>
          </w:r>
          <w:r w:rsidR="00AE40B8" w:rsidRPr="001D6747">
            <w:rPr>
              <w:rFonts w:asciiTheme="minorHAnsi" w:hAnsiTheme="minorHAnsi" w:cstheme="minorHAnsi" w:hint="eastAsia"/>
              <w:b/>
              <w:bCs/>
              <w:noProof/>
              <w:color w:val="FFFFFF" w:themeColor="background1"/>
              <w:sz w:val="22"/>
              <w:szCs w:val="22"/>
              <w:lang w:val="en-GB" w:eastAsia="zh-CN"/>
            </w:rPr>
            <w:t>*</w:t>
          </w:r>
          <w:r w:rsidRPr="001D6747">
            <w:rPr>
              <w:rFonts w:asciiTheme="minorHAnsi" w:hAnsiTheme="minorHAnsi" w:cstheme="minorHAnsi"/>
              <w:b/>
              <w:bCs/>
              <w:noProof/>
              <w:color w:val="FFFFFF" w:themeColor="background1"/>
              <w:sz w:val="22"/>
              <w:szCs w:val="22"/>
              <w:lang w:val="en-GB" w:eastAsia="zh-CN"/>
            </w:rPr>
            <w:t>), pp: **-**</w:t>
          </w:r>
        </w:p>
      </w:tc>
    </w:tr>
  </w:tbl>
  <w:p w14:paraId="2CD246A4" w14:textId="77777777" w:rsidR="001D5EF3" w:rsidRPr="00614236" w:rsidRDefault="001D5EF3" w:rsidP="00614236">
    <w:pPr>
      <w:adjustRightInd w:val="0"/>
      <w:snapToGrid w:val="0"/>
      <w:spacing w:line="240" w:lineRule="exact"/>
      <w:jc w:val="right"/>
      <w:rPr>
        <w:rFonts w:asciiTheme="minorHAnsi" w:hAnsiTheme="minorHAnsi" w:cstheme="minorHAnsi"/>
        <w:noProof/>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91260F8"/>
    <w:lvl w:ilvl="0">
      <w:start w:val="1"/>
      <w:numFmt w:val="decimal"/>
      <w:lvlText w:val="%1."/>
      <w:lvlJc w:val="left"/>
      <w:pPr>
        <w:tabs>
          <w:tab w:val="num" w:pos="1620"/>
        </w:tabs>
        <w:ind w:left="1620" w:hanging="360"/>
      </w:pPr>
    </w:lvl>
  </w:abstractNum>
  <w:abstractNum w:abstractNumId="1" w15:restartNumberingAfterBreak="0">
    <w:nsid w:val="16433725"/>
    <w:multiLevelType w:val="hybridMultilevel"/>
    <w:tmpl w:val="31FE2956"/>
    <w:lvl w:ilvl="0" w:tplc="0F86DEC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A63D9D"/>
    <w:multiLevelType w:val="hybridMultilevel"/>
    <w:tmpl w:val="E6BA26CE"/>
    <w:lvl w:ilvl="0" w:tplc="14A2F8C0">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3ABF5F59"/>
    <w:multiLevelType w:val="multilevel"/>
    <w:tmpl w:val="659CA05C"/>
    <w:lvl w:ilvl="0">
      <w:start w:val="1"/>
      <w:numFmt w:val="decimal"/>
      <w:suff w:val="space"/>
      <w:lvlText w:val="%1."/>
      <w:lvlJc w:val="left"/>
      <w:pPr>
        <w:ind w:left="420" w:hanging="420"/>
      </w:pPr>
      <w:rPr>
        <w:rFonts w:hint="eastAsia"/>
      </w:rPr>
    </w:lvl>
    <w:lvl w:ilvl="1">
      <w:start w:val="1"/>
      <w:numFmt w:val="decimal"/>
      <w:isLgl/>
      <w:suff w:val="space"/>
      <w:lvlText w:val="%1.%2."/>
      <w:lvlJc w:val="left"/>
      <w:pPr>
        <w:ind w:left="5605" w:hanging="405"/>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1452944"/>
    <w:multiLevelType w:val="hybridMultilevel"/>
    <w:tmpl w:val="4C305CE4"/>
    <w:lvl w:ilvl="0" w:tplc="28D855C8">
      <w:start w:val="1"/>
      <w:numFmt w:val="decimal"/>
      <w:lvlText w:val="%1."/>
      <w:lvlJc w:val="right"/>
      <w:pPr>
        <w:tabs>
          <w:tab w:val="num" w:pos="397"/>
        </w:tabs>
        <w:ind w:left="397" w:hanging="284"/>
      </w:pPr>
      <w:rPr>
        <w:rFonts w:hint="eastAsia"/>
        <w:b w:val="0"/>
      </w:rPr>
    </w:lvl>
    <w:lvl w:ilvl="1" w:tplc="6554BD9E">
      <w:start w:val="15"/>
      <w:numFmt w:val="bullet"/>
      <w:lvlText w:val="%2."/>
      <w:lvlJc w:val="left"/>
      <w:pPr>
        <w:tabs>
          <w:tab w:val="num" w:pos="780"/>
        </w:tabs>
        <w:ind w:left="780" w:hanging="360"/>
      </w:pPr>
      <w:rPr>
        <w:rFonts w:ascii="Wingdings" w:eastAsia="宋体"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15:restartNumberingAfterBreak="0">
    <w:nsid w:val="44A95B46"/>
    <w:multiLevelType w:val="hybridMultilevel"/>
    <w:tmpl w:val="9CC84A8E"/>
    <w:lvl w:ilvl="0" w:tplc="3304747E">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63795834"/>
    <w:multiLevelType w:val="hybridMultilevel"/>
    <w:tmpl w:val="20B41DEA"/>
    <w:lvl w:ilvl="0" w:tplc="4960378E">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6B932920"/>
    <w:multiLevelType w:val="hybridMultilevel"/>
    <w:tmpl w:val="C660DBC2"/>
    <w:lvl w:ilvl="0" w:tplc="E8A22E5C">
      <w:start w:val="1"/>
      <w:numFmt w:val="decimal"/>
      <w:lvlText w:val="[%1]"/>
      <w:lvlJc w:val="left"/>
      <w:pPr>
        <w:tabs>
          <w:tab w:val="num" w:pos="3681"/>
        </w:tabs>
        <w:ind w:left="3681" w:hanging="420"/>
      </w:pPr>
      <w:rPr>
        <w:rFonts w:hint="eastAsia"/>
        <w:b w:val="0"/>
      </w:rPr>
    </w:lvl>
    <w:lvl w:ilvl="1" w:tplc="6554BD9E">
      <w:start w:val="15"/>
      <w:numFmt w:val="bullet"/>
      <w:lvlText w:val="%2."/>
      <w:lvlJc w:val="left"/>
      <w:pPr>
        <w:tabs>
          <w:tab w:val="num" w:pos="780"/>
        </w:tabs>
        <w:ind w:left="780" w:hanging="360"/>
      </w:pPr>
      <w:rPr>
        <w:rFonts w:ascii="Wingdings" w:eastAsia="宋体"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2107462513">
    <w:abstractNumId w:val="3"/>
  </w:num>
  <w:num w:numId="2" w16cid:durableId="1645575353">
    <w:abstractNumId w:val="7"/>
  </w:num>
  <w:num w:numId="3" w16cid:durableId="1972249846">
    <w:abstractNumId w:val="4"/>
  </w:num>
  <w:num w:numId="4" w16cid:durableId="1722291120">
    <w:abstractNumId w:val="1"/>
  </w:num>
  <w:num w:numId="5" w16cid:durableId="1069886856">
    <w:abstractNumId w:val="2"/>
  </w:num>
  <w:num w:numId="6" w16cid:durableId="1983801171">
    <w:abstractNumId w:val="5"/>
  </w:num>
  <w:num w:numId="7" w16cid:durableId="539979934">
    <w:abstractNumId w:val="6"/>
  </w:num>
  <w:num w:numId="8" w16cid:durableId="7273445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7D63"/>
    <w:rsid w:val="0000232A"/>
    <w:rsid w:val="0000393A"/>
    <w:rsid w:val="00004E5B"/>
    <w:rsid w:val="00005C05"/>
    <w:rsid w:val="000076A4"/>
    <w:rsid w:val="000109A6"/>
    <w:rsid w:val="0001236F"/>
    <w:rsid w:val="00013569"/>
    <w:rsid w:val="00015133"/>
    <w:rsid w:val="00016D38"/>
    <w:rsid w:val="00020800"/>
    <w:rsid w:val="000212A0"/>
    <w:rsid w:val="00021C39"/>
    <w:rsid w:val="00022037"/>
    <w:rsid w:val="0002345F"/>
    <w:rsid w:val="00023E62"/>
    <w:rsid w:val="00024A4B"/>
    <w:rsid w:val="00025AEC"/>
    <w:rsid w:val="00026391"/>
    <w:rsid w:val="00026762"/>
    <w:rsid w:val="00027885"/>
    <w:rsid w:val="00030847"/>
    <w:rsid w:val="000313DD"/>
    <w:rsid w:val="00031F67"/>
    <w:rsid w:val="0003204E"/>
    <w:rsid w:val="0003248C"/>
    <w:rsid w:val="00032F3A"/>
    <w:rsid w:val="00033210"/>
    <w:rsid w:val="000335F7"/>
    <w:rsid w:val="00033B47"/>
    <w:rsid w:val="00034B2D"/>
    <w:rsid w:val="00034DD0"/>
    <w:rsid w:val="00035120"/>
    <w:rsid w:val="00035807"/>
    <w:rsid w:val="00036513"/>
    <w:rsid w:val="0004080E"/>
    <w:rsid w:val="00040E9F"/>
    <w:rsid w:val="00042219"/>
    <w:rsid w:val="000424C4"/>
    <w:rsid w:val="000425E6"/>
    <w:rsid w:val="00043398"/>
    <w:rsid w:val="00043CE3"/>
    <w:rsid w:val="00044944"/>
    <w:rsid w:val="00045070"/>
    <w:rsid w:val="00045BEB"/>
    <w:rsid w:val="00045EC1"/>
    <w:rsid w:val="0004612D"/>
    <w:rsid w:val="00046CCE"/>
    <w:rsid w:val="000471F8"/>
    <w:rsid w:val="00047371"/>
    <w:rsid w:val="00047759"/>
    <w:rsid w:val="00047B10"/>
    <w:rsid w:val="00050E1D"/>
    <w:rsid w:val="000510AA"/>
    <w:rsid w:val="00053B08"/>
    <w:rsid w:val="00053BD5"/>
    <w:rsid w:val="000560FA"/>
    <w:rsid w:val="000566C8"/>
    <w:rsid w:val="00056F16"/>
    <w:rsid w:val="00060E82"/>
    <w:rsid w:val="00061E7E"/>
    <w:rsid w:val="00064233"/>
    <w:rsid w:val="00064C8E"/>
    <w:rsid w:val="00064E33"/>
    <w:rsid w:val="000650DB"/>
    <w:rsid w:val="0006595F"/>
    <w:rsid w:val="00066D7D"/>
    <w:rsid w:val="00066DD3"/>
    <w:rsid w:val="000677BC"/>
    <w:rsid w:val="000702F5"/>
    <w:rsid w:val="000713F1"/>
    <w:rsid w:val="000715D3"/>
    <w:rsid w:val="000731F8"/>
    <w:rsid w:val="000732BA"/>
    <w:rsid w:val="00074937"/>
    <w:rsid w:val="00074D95"/>
    <w:rsid w:val="00075813"/>
    <w:rsid w:val="00076C89"/>
    <w:rsid w:val="000778BF"/>
    <w:rsid w:val="00080291"/>
    <w:rsid w:val="0008083B"/>
    <w:rsid w:val="000831A9"/>
    <w:rsid w:val="00085059"/>
    <w:rsid w:val="00085D29"/>
    <w:rsid w:val="00087088"/>
    <w:rsid w:val="000901D0"/>
    <w:rsid w:val="00090811"/>
    <w:rsid w:val="0009163D"/>
    <w:rsid w:val="000927C4"/>
    <w:rsid w:val="000941E5"/>
    <w:rsid w:val="00094DFC"/>
    <w:rsid w:val="00095A41"/>
    <w:rsid w:val="00096510"/>
    <w:rsid w:val="000968AF"/>
    <w:rsid w:val="00096CB7"/>
    <w:rsid w:val="00097249"/>
    <w:rsid w:val="000A0A1C"/>
    <w:rsid w:val="000A0BF0"/>
    <w:rsid w:val="000A210C"/>
    <w:rsid w:val="000A276E"/>
    <w:rsid w:val="000A2E23"/>
    <w:rsid w:val="000A3023"/>
    <w:rsid w:val="000A5224"/>
    <w:rsid w:val="000B0DE3"/>
    <w:rsid w:val="000B1135"/>
    <w:rsid w:val="000B14D5"/>
    <w:rsid w:val="000B23C4"/>
    <w:rsid w:val="000B2D30"/>
    <w:rsid w:val="000B3189"/>
    <w:rsid w:val="000B31EB"/>
    <w:rsid w:val="000B34EE"/>
    <w:rsid w:val="000B3AB5"/>
    <w:rsid w:val="000B4194"/>
    <w:rsid w:val="000B4F9B"/>
    <w:rsid w:val="000B631E"/>
    <w:rsid w:val="000B7961"/>
    <w:rsid w:val="000C0A27"/>
    <w:rsid w:val="000C2250"/>
    <w:rsid w:val="000C2A3A"/>
    <w:rsid w:val="000C2BD5"/>
    <w:rsid w:val="000C2F85"/>
    <w:rsid w:val="000C5258"/>
    <w:rsid w:val="000C5B65"/>
    <w:rsid w:val="000C7099"/>
    <w:rsid w:val="000C76D8"/>
    <w:rsid w:val="000D0605"/>
    <w:rsid w:val="000D23FF"/>
    <w:rsid w:val="000D519E"/>
    <w:rsid w:val="000D5752"/>
    <w:rsid w:val="000D57BF"/>
    <w:rsid w:val="000D599E"/>
    <w:rsid w:val="000D60C6"/>
    <w:rsid w:val="000D683E"/>
    <w:rsid w:val="000D6C48"/>
    <w:rsid w:val="000D7261"/>
    <w:rsid w:val="000D7401"/>
    <w:rsid w:val="000D7AFC"/>
    <w:rsid w:val="000E3EC6"/>
    <w:rsid w:val="000E577C"/>
    <w:rsid w:val="000E6780"/>
    <w:rsid w:val="000E6E7C"/>
    <w:rsid w:val="000E7518"/>
    <w:rsid w:val="000F01D7"/>
    <w:rsid w:val="000F0D5B"/>
    <w:rsid w:val="000F0FE7"/>
    <w:rsid w:val="000F18B8"/>
    <w:rsid w:val="000F18D8"/>
    <w:rsid w:val="000F24DC"/>
    <w:rsid w:val="000F2529"/>
    <w:rsid w:val="000F5FB1"/>
    <w:rsid w:val="000F7192"/>
    <w:rsid w:val="000F74F2"/>
    <w:rsid w:val="001011C6"/>
    <w:rsid w:val="00101797"/>
    <w:rsid w:val="00101B0E"/>
    <w:rsid w:val="00102162"/>
    <w:rsid w:val="00102954"/>
    <w:rsid w:val="00103392"/>
    <w:rsid w:val="00103FA0"/>
    <w:rsid w:val="001053B4"/>
    <w:rsid w:val="00105AD4"/>
    <w:rsid w:val="00105B58"/>
    <w:rsid w:val="00105F21"/>
    <w:rsid w:val="0010686E"/>
    <w:rsid w:val="00106F47"/>
    <w:rsid w:val="00110E7C"/>
    <w:rsid w:val="001117B1"/>
    <w:rsid w:val="00114FBF"/>
    <w:rsid w:val="00115EB1"/>
    <w:rsid w:val="00116770"/>
    <w:rsid w:val="001174AF"/>
    <w:rsid w:val="00123EB2"/>
    <w:rsid w:val="001250C9"/>
    <w:rsid w:val="00125282"/>
    <w:rsid w:val="001254B2"/>
    <w:rsid w:val="00125A5A"/>
    <w:rsid w:val="00126038"/>
    <w:rsid w:val="00130CA9"/>
    <w:rsid w:val="00131D74"/>
    <w:rsid w:val="00131E5C"/>
    <w:rsid w:val="001323E2"/>
    <w:rsid w:val="001334F8"/>
    <w:rsid w:val="00133B49"/>
    <w:rsid w:val="00134763"/>
    <w:rsid w:val="001367B6"/>
    <w:rsid w:val="00136D26"/>
    <w:rsid w:val="00136F95"/>
    <w:rsid w:val="00140558"/>
    <w:rsid w:val="00143037"/>
    <w:rsid w:val="00143278"/>
    <w:rsid w:val="0014386E"/>
    <w:rsid w:val="001445B1"/>
    <w:rsid w:val="00152B15"/>
    <w:rsid w:val="0015457A"/>
    <w:rsid w:val="00155398"/>
    <w:rsid w:val="00155C37"/>
    <w:rsid w:val="001572DF"/>
    <w:rsid w:val="00160638"/>
    <w:rsid w:val="00161539"/>
    <w:rsid w:val="00161CC6"/>
    <w:rsid w:val="001632FF"/>
    <w:rsid w:val="0016386D"/>
    <w:rsid w:val="00164EFB"/>
    <w:rsid w:val="001658BF"/>
    <w:rsid w:val="00166EBE"/>
    <w:rsid w:val="001673D1"/>
    <w:rsid w:val="001674DD"/>
    <w:rsid w:val="0016760A"/>
    <w:rsid w:val="0017302A"/>
    <w:rsid w:val="00173442"/>
    <w:rsid w:val="00174A98"/>
    <w:rsid w:val="00175C04"/>
    <w:rsid w:val="00180A85"/>
    <w:rsid w:val="001813DF"/>
    <w:rsid w:val="00182761"/>
    <w:rsid w:val="00182768"/>
    <w:rsid w:val="00182A64"/>
    <w:rsid w:val="00182DE4"/>
    <w:rsid w:val="00184A3B"/>
    <w:rsid w:val="00185344"/>
    <w:rsid w:val="001856D0"/>
    <w:rsid w:val="00192333"/>
    <w:rsid w:val="0019249E"/>
    <w:rsid w:val="00192ECB"/>
    <w:rsid w:val="00192F81"/>
    <w:rsid w:val="00193C32"/>
    <w:rsid w:val="0019501E"/>
    <w:rsid w:val="0019504D"/>
    <w:rsid w:val="00196F94"/>
    <w:rsid w:val="001A280F"/>
    <w:rsid w:val="001A305F"/>
    <w:rsid w:val="001A3276"/>
    <w:rsid w:val="001A7825"/>
    <w:rsid w:val="001B00AB"/>
    <w:rsid w:val="001B0F59"/>
    <w:rsid w:val="001B0FC7"/>
    <w:rsid w:val="001B176A"/>
    <w:rsid w:val="001B2095"/>
    <w:rsid w:val="001B3133"/>
    <w:rsid w:val="001B363B"/>
    <w:rsid w:val="001B44FB"/>
    <w:rsid w:val="001B5159"/>
    <w:rsid w:val="001B664D"/>
    <w:rsid w:val="001B6FFD"/>
    <w:rsid w:val="001C04EB"/>
    <w:rsid w:val="001C1B72"/>
    <w:rsid w:val="001C26E8"/>
    <w:rsid w:val="001C33B7"/>
    <w:rsid w:val="001C3ECF"/>
    <w:rsid w:val="001C68C9"/>
    <w:rsid w:val="001C6B7C"/>
    <w:rsid w:val="001C6DF6"/>
    <w:rsid w:val="001C78A7"/>
    <w:rsid w:val="001D0E19"/>
    <w:rsid w:val="001D36EC"/>
    <w:rsid w:val="001D3B53"/>
    <w:rsid w:val="001D5EF3"/>
    <w:rsid w:val="001D6747"/>
    <w:rsid w:val="001D7511"/>
    <w:rsid w:val="001E1AC6"/>
    <w:rsid w:val="001E3354"/>
    <w:rsid w:val="001E39BA"/>
    <w:rsid w:val="001E56A1"/>
    <w:rsid w:val="001E6332"/>
    <w:rsid w:val="001E7011"/>
    <w:rsid w:val="001E7B64"/>
    <w:rsid w:val="001F3708"/>
    <w:rsid w:val="001F3840"/>
    <w:rsid w:val="001F3BDE"/>
    <w:rsid w:val="001F45B4"/>
    <w:rsid w:val="001F73D3"/>
    <w:rsid w:val="0020076D"/>
    <w:rsid w:val="0020277B"/>
    <w:rsid w:val="00203302"/>
    <w:rsid w:val="00204428"/>
    <w:rsid w:val="002058E0"/>
    <w:rsid w:val="00210E92"/>
    <w:rsid w:val="00213252"/>
    <w:rsid w:val="00214BB8"/>
    <w:rsid w:val="00215CE7"/>
    <w:rsid w:val="002166EF"/>
    <w:rsid w:val="0021687B"/>
    <w:rsid w:val="00216AB9"/>
    <w:rsid w:val="0022003E"/>
    <w:rsid w:val="00220167"/>
    <w:rsid w:val="00220AF9"/>
    <w:rsid w:val="00222264"/>
    <w:rsid w:val="002228E1"/>
    <w:rsid w:val="00223AE2"/>
    <w:rsid w:val="00223D55"/>
    <w:rsid w:val="00223E2C"/>
    <w:rsid w:val="00224DEC"/>
    <w:rsid w:val="00225299"/>
    <w:rsid w:val="002252A2"/>
    <w:rsid w:val="00225731"/>
    <w:rsid w:val="00226093"/>
    <w:rsid w:val="00227E5A"/>
    <w:rsid w:val="00230313"/>
    <w:rsid w:val="00230651"/>
    <w:rsid w:val="002325CE"/>
    <w:rsid w:val="0023549D"/>
    <w:rsid w:val="002357E6"/>
    <w:rsid w:val="00240BC7"/>
    <w:rsid w:val="0024100D"/>
    <w:rsid w:val="002448E4"/>
    <w:rsid w:val="00246B8B"/>
    <w:rsid w:val="00246E01"/>
    <w:rsid w:val="002504F0"/>
    <w:rsid w:val="002504F5"/>
    <w:rsid w:val="00255A5E"/>
    <w:rsid w:val="00255C12"/>
    <w:rsid w:val="00256A47"/>
    <w:rsid w:val="00261A1D"/>
    <w:rsid w:val="0026315A"/>
    <w:rsid w:val="002649D1"/>
    <w:rsid w:val="002667D3"/>
    <w:rsid w:val="002670DC"/>
    <w:rsid w:val="0027151F"/>
    <w:rsid w:val="00271A6B"/>
    <w:rsid w:val="0027215A"/>
    <w:rsid w:val="00274F77"/>
    <w:rsid w:val="002752CF"/>
    <w:rsid w:val="00276E6A"/>
    <w:rsid w:val="002771E8"/>
    <w:rsid w:val="002803B3"/>
    <w:rsid w:val="00281045"/>
    <w:rsid w:val="00283162"/>
    <w:rsid w:val="0028529F"/>
    <w:rsid w:val="00285DE3"/>
    <w:rsid w:val="002860FB"/>
    <w:rsid w:val="002868F6"/>
    <w:rsid w:val="00292FED"/>
    <w:rsid w:val="0029315F"/>
    <w:rsid w:val="00293545"/>
    <w:rsid w:val="0029437A"/>
    <w:rsid w:val="00294B3D"/>
    <w:rsid w:val="00294BB4"/>
    <w:rsid w:val="00295498"/>
    <w:rsid w:val="002A06B1"/>
    <w:rsid w:val="002A1B3F"/>
    <w:rsid w:val="002A38FF"/>
    <w:rsid w:val="002A3BCF"/>
    <w:rsid w:val="002A61BD"/>
    <w:rsid w:val="002A6F17"/>
    <w:rsid w:val="002A6F76"/>
    <w:rsid w:val="002B0918"/>
    <w:rsid w:val="002B184A"/>
    <w:rsid w:val="002B1CBD"/>
    <w:rsid w:val="002B2351"/>
    <w:rsid w:val="002B2EC3"/>
    <w:rsid w:val="002B5CBA"/>
    <w:rsid w:val="002B660C"/>
    <w:rsid w:val="002B7306"/>
    <w:rsid w:val="002C1723"/>
    <w:rsid w:val="002C1874"/>
    <w:rsid w:val="002C1A4D"/>
    <w:rsid w:val="002C2D72"/>
    <w:rsid w:val="002C34AD"/>
    <w:rsid w:val="002C3718"/>
    <w:rsid w:val="002C3855"/>
    <w:rsid w:val="002C39BC"/>
    <w:rsid w:val="002C49BA"/>
    <w:rsid w:val="002D0FFD"/>
    <w:rsid w:val="002D11E5"/>
    <w:rsid w:val="002D2325"/>
    <w:rsid w:val="002D2642"/>
    <w:rsid w:val="002D53B0"/>
    <w:rsid w:val="002E0476"/>
    <w:rsid w:val="002E0F45"/>
    <w:rsid w:val="002E4DBA"/>
    <w:rsid w:val="002E5A7F"/>
    <w:rsid w:val="002E5E32"/>
    <w:rsid w:val="002E78A8"/>
    <w:rsid w:val="002E7D29"/>
    <w:rsid w:val="002F0208"/>
    <w:rsid w:val="002F19A8"/>
    <w:rsid w:val="002F271B"/>
    <w:rsid w:val="002F29E1"/>
    <w:rsid w:val="002F3BBF"/>
    <w:rsid w:val="002F4B23"/>
    <w:rsid w:val="002F5283"/>
    <w:rsid w:val="002F6F53"/>
    <w:rsid w:val="002F708D"/>
    <w:rsid w:val="002F7BFE"/>
    <w:rsid w:val="00301ABB"/>
    <w:rsid w:val="00302BE5"/>
    <w:rsid w:val="00302C30"/>
    <w:rsid w:val="00302F12"/>
    <w:rsid w:val="0030313B"/>
    <w:rsid w:val="00303C8D"/>
    <w:rsid w:val="00303D94"/>
    <w:rsid w:val="003047C4"/>
    <w:rsid w:val="003051BA"/>
    <w:rsid w:val="00305AB0"/>
    <w:rsid w:val="003074C4"/>
    <w:rsid w:val="003075F0"/>
    <w:rsid w:val="00307619"/>
    <w:rsid w:val="0031294D"/>
    <w:rsid w:val="00312DE2"/>
    <w:rsid w:val="00313133"/>
    <w:rsid w:val="003136BB"/>
    <w:rsid w:val="00314CA2"/>
    <w:rsid w:val="003158F9"/>
    <w:rsid w:val="0031777E"/>
    <w:rsid w:val="003179DC"/>
    <w:rsid w:val="00320644"/>
    <w:rsid w:val="00320C33"/>
    <w:rsid w:val="0032171A"/>
    <w:rsid w:val="00321979"/>
    <w:rsid w:val="00322502"/>
    <w:rsid w:val="00325553"/>
    <w:rsid w:val="00325CAA"/>
    <w:rsid w:val="00326E8A"/>
    <w:rsid w:val="003273B4"/>
    <w:rsid w:val="003316A2"/>
    <w:rsid w:val="00333EE2"/>
    <w:rsid w:val="003343C1"/>
    <w:rsid w:val="00337E18"/>
    <w:rsid w:val="003413A5"/>
    <w:rsid w:val="00341E7E"/>
    <w:rsid w:val="00342A90"/>
    <w:rsid w:val="00342DE8"/>
    <w:rsid w:val="003447E9"/>
    <w:rsid w:val="0034527A"/>
    <w:rsid w:val="003504FD"/>
    <w:rsid w:val="00350C6A"/>
    <w:rsid w:val="003516DC"/>
    <w:rsid w:val="00351FC2"/>
    <w:rsid w:val="00352310"/>
    <w:rsid w:val="003542CA"/>
    <w:rsid w:val="00357DCA"/>
    <w:rsid w:val="003616A6"/>
    <w:rsid w:val="00361AB9"/>
    <w:rsid w:val="00361E50"/>
    <w:rsid w:val="0036234F"/>
    <w:rsid w:val="0036248E"/>
    <w:rsid w:val="0036286C"/>
    <w:rsid w:val="003643DB"/>
    <w:rsid w:val="00364A1F"/>
    <w:rsid w:val="00364D80"/>
    <w:rsid w:val="00365EDF"/>
    <w:rsid w:val="003662C5"/>
    <w:rsid w:val="003674C0"/>
    <w:rsid w:val="003709E2"/>
    <w:rsid w:val="003729BB"/>
    <w:rsid w:val="00374421"/>
    <w:rsid w:val="00375B92"/>
    <w:rsid w:val="00376659"/>
    <w:rsid w:val="00380620"/>
    <w:rsid w:val="00381B6B"/>
    <w:rsid w:val="00382C03"/>
    <w:rsid w:val="00384578"/>
    <w:rsid w:val="0038521B"/>
    <w:rsid w:val="00385420"/>
    <w:rsid w:val="00386564"/>
    <w:rsid w:val="00387365"/>
    <w:rsid w:val="003874F6"/>
    <w:rsid w:val="003877B8"/>
    <w:rsid w:val="00390AA5"/>
    <w:rsid w:val="003911EC"/>
    <w:rsid w:val="00391FC4"/>
    <w:rsid w:val="003920F4"/>
    <w:rsid w:val="003926AC"/>
    <w:rsid w:val="00393AFB"/>
    <w:rsid w:val="00393D43"/>
    <w:rsid w:val="00395C30"/>
    <w:rsid w:val="00396673"/>
    <w:rsid w:val="00396F2E"/>
    <w:rsid w:val="003971F9"/>
    <w:rsid w:val="003A07D6"/>
    <w:rsid w:val="003A08B4"/>
    <w:rsid w:val="003A1128"/>
    <w:rsid w:val="003A1AC1"/>
    <w:rsid w:val="003A3AB9"/>
    <w:rsid w:val="003A3AC2"/>
    <w:rsid w:val="003A4812"/>
    <w:rsid w:val="003A7AFD"/>
    <w:rsid w:val="003B118D"/>
    <w:rsid w:val="003B34DB"/>
    <w:rsid w:val="003B7DF7"/>
    <w:rsid w:val="003C10C7"/>
    <w:rsid w:val="003C1EEA"/>
    <w:rsid w:val="003C2936"/>
    <w:rsid w:val="003C2A79"/>
    <w:rsid w:val="003C4EC0"/>
    <w:rsid w:val="003C581E"/>
    <w:rsid w:val="003C6789"/>
    <w:rsid w:val="003D0E9F"/>
    <w:rsid w:val="003D1B44"/>
    <w:rsid w:val="003D23EF"/>
    <w:rsid w:val="003D2D66"/>
    <w:rsid w:val="003D3A23"/>
    <w:rsid w:val="003D3B00"/>
    <w:rsid w:val="003D6A16"/>
    <w:rsid w:val="003E175A"/>
    <w:rsid w:val="003E28F7"/>
    <w:rsid w:val="003E2BA3"/>
    <w:rsid w:val="003E2E15"/>
    <w:rsid w:val="003E43B4"/>
    <w:rsid w:val="003E50C3"/>
    <w:rsid w:val="003E5EA9"/>
    <w:rsid w:val="003E5FA0"/>
    <w:rsid w:val="003E64B9"/>
    <w:rsid w:val="003E656B"/>
    <w:rsid w:val="003E6B37"/>
    <w:rsid w:val="003F181E"/>
    <w:rsid w:val="003F1974"/>
    <w:rsid w:val="003F21DF"/>
    <w:rsid w:val="003F2ADD"/>
    <w:rsid w:val="003F2CFD"/>
    <w:rsid w:val="003F4FA9"/>
    <w:rsid w:val="004007A4"/>
    <w:rsid w:val="00401A73"/>
    <w:rsid w:val="00402BA8"/>
    <w:rsid w:val="00403DB7"/>
    <w:rsid w:val="00404D39"/>
    <w:rsid w:val="004051CF"/>
    <w:rsid w:val="00405DDE"/>
    <w:rsid w:val="004060CA"/>
    <w:rsid w:val="00406B90"/>
    <w:rsid w:val="004077FA"/>
    <w:rsid w:val="00410030"/>
    <w:rsid w:val="00410CBA"/>
    <w:rsid w:val="00410FAB"/>
    <w:rsid w:val="004110B9"/>
    <w:rsid w:val="004114ED"/>
    <w:rsid w:val="00413D24"/>
    <w:rsid w:val="00416A97"/>
    <w:rsid w:val="00416C9D"/>
    <w:rsid w:val="00417673"/>
    <w:rsid w:val="00420BC3"/>
    <w:rsid w:val="00421DD9"/>
    <w:rsid w:val="004226CE"/>
    <w:rsid w:val="00422DE8"/>
    <w:rsid w:val="004245BB"/>
    <w:rsid w:val="00424B27"/>
    <w:rsid w:val="00425116"/>
    <w:rsid w:val="00427E7A"/>
    <w:rsid w:val="004328F4"/>
    <w:rsid w:val="004329A2"/>
    <w:rsid w:val="00434435"/>
    <w:rsid w:val="004347AB"/>
    <w:rsid w:val="00435B73"/>
    <w:rsid w:val="0043627F"/>
    <w:rsid w:val="004367AE"/>
    <w:rsid w:val="0043739B"/>
    <w:rsid w:val="00437CCD"/>
    <w:rsid w:val="004403BA"/>
    <w:rsid w:val="00442B16"/>
    <w:rsid w:val="00442B86"/>
    <w:rsid w:val="00443BA5"/>
    <w:rsid w:val="00444826"/>
    <w:rsid w:val="00444CEA"/>
    <w:rsid w:val="0044641B"/>
    <w:rsid w:val="00446DF5"/>
    <w:rsid w:val="00447056"/>
    <w:rsid w:val="00450C86"/>
    <w:rsid w:val="0045382D"/>
    <w:rsid w:val="004546A4"/>
    <w:rsid w:val="0045590F"/>
    <w:rsid w:val="0045617C"/>
    <w:rsid w:val="00457404"/>
    <w:rsid w:val="00457650"/>
    <w:rsid w:val="00457CC3"/>
    <w:rsid w:val="004615E5"/>
    <w:rsid w:val="00461CF1"/>
    <w:rsid w:val="00464586"/>
    <w:rsid w:val="00464929"/>
    <w:rsid w:val="004660BE"/>
    <w:rsid w:val="00471562"/>
    <w:rsid w:val="004730F0"/>
    <w:rsid w:val="0047575E"/>
    <w:rsid w:val="00477E78"/>
    <w:rsid w:val="00480D10"/>
    <w:rsid w:val="00482A31"/>
    <w:rsid w:val="00482CAA"/>
    <w:rsid w:val="00482E3A"/>
    <w:rsid w:val="00484281"/>
    <w:rsid w:val="00484518"/>
    <w:rsid w:val="004847C0"/>
    <w:rsid w:val="00485AD1"/>
    <w:rsid w:val="00485F39"/>
    <w:rsid w:val="00486733"/>
    <w:rsid w:val="004874FF"/>
    <w:rsid w:val="0049027D"/>
    <w:rsid w:val="00492E21"/>
    <w:rsid w:val="00492F9B"/>
    <w:rsid w:val="004940FA"/>
    <w:rsid w:val="004947FC"/>
    <w:rsid w:val="00494DFE"/>
    <w:rsid w:val="0049671C"/>
    <w:rsid w:val="00496FCB"/>
    <w:rsid w:val="004A03FF"/>
    <w:rsid w:val="004A06B2"/>
    <w:rsid w:val="004A1DF0"/>
    <w:rsid w:val="004A23D2"/>
    <w:rsid w:val="004A3B4C"/>
    <w:rsid w:val="004A5005"/>
    <w:rsid w:val="004A5092"/>
    <w:rsid w:val="004A53AC"/>
    <w:rsid w:val="004A6A9D"/>
    <w:rsid w:val="004B0B4F"/>
    <w:rsid w:val="004B1469"/>
    <w:rsid w:val="004B274A"/>
    <w:rsid w:val="004B37D2"/>
    <w:rsid w:val="004B4899"/>
    <w:rsid w:val="004B5426"/>
    <w:rsid w:val="004B5800"/>
    <w:rsid w:val="004B63BB"/>
    <w:rsid w:val="004B69D8"/>
    <w:rsid w:val="004B76C1"/>
    <w:rsid w:val="004C18A6"/>
    <w:rsid w:val="004C2838"/>
    <w:rsid w:val="004C2B5B"/>
    <w:rsid w:val="004C2CE8"/>
    <w:rsid w:val="004C399E"/>
    <w:rsid w:val="004C4E44"/>
    <w:rsid w:val="004C5809"/>
    <w:rsid w:val="004C5EFD"/>
    <w:rsid w:val="004C60FB"/>
    <w:rsid w:val="004C79EF"/>
    <w:rsid w:val="004C7A5E"/>
    <w:rsid w:val="004D0CE6"/>
    <w:rsid w:val="004D0EB3"/>
    <w:rsid w:val="004D1EA4"/>
    <w:rsid w:val="004D2348"/>
    <w:rsid w:val="004D4164"/>
    <w:rsid w:val="004D4D9A"/>
    <w:rsid w:val="004E14F7"/>
    <w:rsid w:val="004E1EF5"/>
    <w:rsid w:val="004E27A1"/>
    <w:rsid w:val="004E28DA"/>
    <w:rsid w:val="004E319C"/>
    <w:rsid w:val="004E3A34"/>
    <w:rsid w:val="004E4442"/>
    <w:rsid w:val="004E4E46"/>
    <w:rsid w:val="004E4E71"/>
    <w:rsid w:val="004E56B4"/>
    <w:rsid w:val="004E6257"/>
    <w:rsid w:val="004E6C90"/>
    <w:rsid w:val="004F0C85"/>
    <w:rsid w:val="004F1659"/>
    <w:rsid w:val="004F1950"/>
    <w:rsid w:val="004F19AD"/>
    <w:rsid w:val="004F377A"/>
    <w:rsid w:val="004F47D4"/>
    <w:rsid w:val="004F4DF4"/>
    <w:rsid w:val="004F6278"/>
    <w:rsid w:val="004F6377"/>
    <w:rsid w:val="00500E53"/>
    <w:rsid w:val="0050171E"/>
    <w:rsid w:val="005023D7"/>
    <w:rsid w:val="00502EFC"/>
    <w:rsid w:val="00503A6C"/>
    <w:rsid w:val="00504246"/>
    <w:rsid w:val="00505987"/>
    <w:rsid w:val="0050632C"/>
    <w:rsid w:val="00507D2C"/>
    <w:rsid w:val="005103B6"/>
    <w:rsid w:val="00510798"/>
    <w:rsid w:val="00510C33"/>
    <w:rsid w:val="00510FB4"/>
    <w:rsid w:val="00511599"/>
    <w:rsid w:val="005142F0"/>
    <w:rsid w:val="005155A6"/>
    <w:rsid w:val="00516275"/>
    <w:rsid w:val="0051791C"/>
    <w:rsid w:val="00521C71"/>
    <w:rsid w:val="0052328D"/>
    <w:rsid w:val="0052331B"/>
    <w:rsid w:val="00523BEE"/>
    <w:rsid w:val="00523C80"/>
    <w:rsid w:val="0052460A"/>
    <w:rsid w:val="005276B0"/>
    <w:rsid w:val="005278BF"/>
    <w:rsid w:val="00527FD4"/>
    <w:rsid w:val="00530EC6"/>
    <w:rsid w:val="0053102F"/>
    <w:rsid w:val="005316AB"/>
    <w:rsid w:val="005326AC"/>
    <w:rsid w:val="00532955"/>
    <w:rsid w:val="005330DC"/>
    <w:rsid w:val="00534D04"/>
    <w:rsid w:val="00534DF8"/>
    <w:rsid w:val="0053743A"/>
    <w:rsid w:val="005379CE"/>
    <w:rsid w:val="00540182"/>
    <w:rsid w:val="00541A3A"/>
    <w:rsid w:val="0054218A"/>
    <w:rsid w:val="0054278A"/>
    <w:rsid w:val="00542C55"/>
    <w:rsid w:val="00543A93"/>
    <w:rsid w:val="005463FC"/>
    <w:rsid w:val="00546954"/>
    <w:rsid w:val="0055182E"/>
    <w:rsid w:val="00552167"/>
    <w:rsid w:val="0055334A"/>
    <w:rsid w:val="00553C15"/>
    <w:rsid w:val="00554B17"/>
    <w:rsid w:val="00555D96"/>
    <w:rsid w:val="00556551"/>
    <w:rsid w:val="00556A43"/>
    <w:rsid w:val="00561901"/>
    <w:rsid w:val="00561D13"/>
    <w:rsid w:val="0056296F"/>
    <w:rsid w:val="00562F60"/>
    <w:rsid w:val="00567C54"/>
    <w:rsid w:val="00570298"/>
    <w:rsid w:val="0057071C"/>
    <w:rsid w:val="005718A2"/>
    <w:rsid w:val="005727BA"/>
    <w:rsid w:val="0057373C"/>
    <w:rsid w:val="00573AF3"/>
    <w:rsid w:val="0057443C"/>
    <w:rsid w:val="00574E6A"/>
    <w:rsid w:val="005755BB"/>
    <w:rsid w:val="00575BEC"/>
    <w:rsid w:val="00576B94"/>
    <w:rsid w:val="005776BB"/>
    <w:rsid w:val="00577E80"/>
    <w:rsid w:val="00583507"/>
    <w:rsid w:val="005876BD"/>
    <w:rsid w:val="005877E6"/>
    <w:rsid w:val="005878CA"/>
    <w:rsid w:val="00587C2E"/>
    <w:rsid w:val="00591505"/>
    <w:rsid w:val="00592872"/>
    <w:rsid w:val="00592CB6"/>
    <w:rsid w:val="00593185"/>
    <w:rsid w:val="005938DE"/>
    <w:rsid w:val="00594030"/>
    <w:rsid w:val="00595EE8"/>
    <w:rsid w:val="00597EA9"/>
    <w:rsid w:val="005A11A8"/>
    <w:rsid w:val="005A165A"/>
    <w:rsid w:val="005A16D2"/>
    <w:rsid w:val="005A3FAD"/>
    <w:rsid w:val="005A5E20"/>
    <w:rsid w:val="005A6020"/>
    <w:rsid w:val="005A60EA"/>
    <w:rsid w:val="005A6794"/>
    <w:rsid w:val="005A79FE"/>
    <w:rsid w:val="005A7A2D"/>
    <w:rsid w:val="005A7B48"/>
    <w:rsid w:val="005B0D9D"/>
    <w:rsid w:val="005B747B"/>
    <w:rsid w:val="005C09D0"/>
    <w:rsid w:val="005C0BFC"/>
    <w:rsid w:val="005C1169"/>
    <w:rsid w:val="005C1AC2"/>
    <w:rsid w:val="005C3A3C"/>
    <w:rsid w:val="005C4381"/>
    <w:rsid w:val="005C448E"/>
    <w:rsid w:val="005C699F"/>
    <w:rsid w:val="005C7944"/>
    <w:rsid w:val="005D0DEE"/>
    <w:rsid w:val="005D14CF"/>
    <w:rsid w:val="005D34DD"/>
    <w:rsid w:val="005D63FD"/>
    <w:rsid w:val="005E0166"/>
    <w:rsid w:val="005E0765"/>
    <w:rsid w:val="005E085D"/>
    <w:rsid w:val="005E16F3"/>
    <w:rsid w:val="005E2C1A"/>
    <w:rsid w:val="005E5A03"/>
    <w:rsid w:val="005E6368"/>
    <w:rsid w:val="005E69D2"/>
    <w:rsid w:val="005E7E08"/>
    <w:rsid w:val="005F08ED"/>
    <w:rsid w:val="005F1C5E"/>
    <w:rsid w:val="005F3E0C"/>
    <w:rsid w:val="005F5926"/>
    <w:rsid w:val="005F70DB"/>
    <w:rsid w:val="00600591"/>
    <w:rsid w:val="00600E46"/>
    <w:rsid w:val="00602ACA"/>
    <w:rsid w:val="0060364A"/>
    <w:rsid w:val="0060373B"/>
    <w:rsid w:val="0060395C"/>
    <w:rsid w:val="006068F9"/>
    <w:rsid w:val="0060777D"/>
    <w:rsid w:val="006112CD"/>
    <w:rsid w:val="00614236"/>
    <w:rsid w:val="006160C2"/>
    <w:rsid w:val="0062025C"/>
    <w:rsid w:val="00621EAE"/>
    <w:rsid w:val="0062242C"/>
    <w:rsid w:val="00622E2B"/>
    <w:rsid w:val="0062354F"/>
    <w:rsid w:val="00624C5E"/>
    <w:rsid w:val="006265BA"/>
    <w:rsid w:val="0062666A"/>
    <w:rsid w:val="006267FD"/>
    <w:rsid w:val="0062707C"/>
    <w:rsid w:val="00627F71"/>
    <w:rsid w:val="00630067"/>
    <w:rsid w:val="0063071B"/>
    <w:rsid w:val="00630EB2"/>
    <w:rsid w:val="006315F1"/>
    <w:rsid w:val="006334EB"/>
    <w:rsid w:val="00633A4B"/>
    <w:rsid w:val="00635FB6"/>
    <w:rsid w:val="0063740B"/>
    <w:rsid w:val="0063780E"/>
    <w:rsid w:val="00637DAC"/>
    <w:rsid w:val="00637F68"/>
    <w:rsid w:val="006401FF"/>
    <w:rsid w:val="0064141A"/>
    <w:rsid w:val="006416E5"/>
    <w:rsid w:val="006422F5"/>
    <w:rsid w:val="00643645"/>
    <w:rsid w:val="0064488A"/>
    <w:rsid w:val="006538D0"/>
    <w:rsid w:val="0065394E"/>
    <w:rsid w:val="00653EC7"/>
    <w:rsid w:val="006549B8"/>
    <w:rsid w:val="00655AF9"/>
    <w:rsid w:val="00655D3F"/>
    <w:rsid w:val="00657193"/>
    <w:rsid w:val="00657AC4"/>
    <w:rsid w:val="006607F2"/>
    <w:rsid w:val="00662DC7"/>
    <w:rsid w:val="0066335F"/>
    <w:rsid w:val="0066385E"/>
    <w:rsid w:val="00663B39"/>
    <w:rsid w:val="00663D0A"/>
    <w:rsid w:val="006651CA"/>
    <w:rsid w:val="00667260"/>
    <w:rsid w:val="00667E9B"/>
    <w:rsid w:val="00671973"/>
    <w:rsid w:val="00674FE1"/>
    <w:rsid w:val="00675D0B"/>
    <w:rsid w:val="00675EB5"/>
    <w:rsid w:val="00680985"/>
    <w:rsid w:val="00681DC6"/>
    <w:rsid w:val="0068339B"/>
    <w:rsid w:val="006833A1"/>
    <w:rsid w:val="00684397"/>
    <w:rsid w:val="00686B32"/>
    <w:rsid w:val="0068730A"/>
    <w:rsid w:val="00687784"/>
    <w:rsid w:val="00687D6D"/>
    <w:rsid w:val="0069252D"/>
    <w:rsid w:val="0069382D"/>
    <w:rsid w:val="00695D2E"/>
    <w:rsid w:val="006966D1"/>
    <w:rsid w:val="006A0E03"/>
    <w:rsid w:val="006A0EA7"/>
    <w:rsid w:val="006A11CA"/>
    <w:rsid w:val="006A18A8"/>
    <w:rsid w:val="006A1D5F"/>
    <w:rsid w:val="006A1FF0"/>
    <w:rsid w:val="006A22F4"/>
    <w:rsid w:val="006A6071"/>
    <w:rsid w:val="006A68B9"/>
    <w:rsid w:val="006A7147"/>
    <w:rsid w:val="006A790A"/>
    <w:rsid w:val="006B0DB6"/>
    <w:rsid w:val="006B1FBF"/>
    <w:rsid w:val="006B373F"/>
    <w:rsid w:val="006B38E2"/>
    <w:rsid w:val="006B535E"/>
    <w:rsid w:val="006B6267"/>
    <w:rsid w:val="006B63CD"/>
    <w:rsid w:val="006B66B5"/>
    <w:rsid w:val="006B6E6A"/>
    <w:rsid w:val="006B700A"/>
    <w:rsid w:val="006C0B56"/>
    <w:rsid w:val="006C170C"/>
    <w:rsid w:val="006C17D8"/>
    <w:rsid w:val="006C34B6"/>
    <w:rsid w:val="006C381D"/>
    <w:rsid w:val="006C4D2B"/>
    <w:rsid w:val="006C5487"/>
    <w:rsid w:val="006C5FAE"/>
    <w:rsid w:val="006C618C"/>
    <w:rsid w:val="006C77FD"/>
    <w:rsid w:val="006D0DF5"/>
    <w:rsid w:val="006D1B2A"/>
    <w:rsid w:val="006D1FEA"/>
    <w:rsid w:val="006D2451"/>
    <w:rsid w:val="006D4020"/>
    <w:rsid w:val="006D4491"/>
    <w:rsid w:val="006D545A"/>
    <w:rsid w:val="006D6A12"/>
    <w:rsid w:val="006E022E"/>
    <w:rsid w:val="006E0E07"/>
    <w:rsid w:val="006E27A1"/>
    <w:rsid w:val="006E43C1"/>
    <w:rsid w:val="006E59F3"/>
    <w:rsid w:val="006E5E79"/>
    <w:rsid w:val="006E607E"/>
    <w:rsid w:val="006E6186"/>
    <w:rsid w:val="006E67FE"/>
    <w:rsid w:val="006E74F4"/>
    <w:rsid w:val="006E788D"/>
    <w:rsid w:val="006F058A"/>
    <w:rsid w:val="006F2FC2"/>
    <w:rsid w:val="006F4142"/>
    <w:rsid w:val="006F57BA"/>
    <w:rsid w:val="00700249"/>
    <w:rsid w:val="00700979"/>
    <w:rsid w:val="00702F24"/>
    <w:rsid w:val="00704537"/>
    <w:rsid w:val="00705E24"/>
    <w:rsid w:val="007061F5"/>
    <w:rsid w:val="007103BD"/>
    <w:rsid w:val="00711110"/>
    <w:rsid w:val="00711B3A"/>
    <w:rsid w:val="007136B9"/>
    <w:rsid w:val="00713D0E"/>
    <w:rsid w:val="0071502A"/>
    <w:rsid w:val="0071653B"/>
    <w:rsid w:val="00717B5A"/>
    <w:rsid w:val="00717DEB"/>
    <w:rsid w:val="0072034F"/>
    <w:rsid w:val="007208CF"/>
    <w:rsid w:val="0072452B"/>
    <w:rsid w:val="00724563"/>
    <w:rsid w:val="007247D2"/>
    <w:rsid w:val="00724E35"/>
    <w:rsid w:val="007257A2"/>
    <w:rsid w:val="007266BB"/>
    <w:rsid w:val="0072700D"/>
    <w:rsid w:val="0072779F"/>
    <w:rsid w:val="00727A9A"/>
    <w:rsid w:val="00730E08"/>
    <w:rsid w:val="00732E7F"/>
    <w:rsid w:val="00732FE4"/>
    <w:rsid w:val="00733481"/>
    <w:rsid w:val="00733B5F"/>
    <w:rsid w:val="007343CD"/>
    <w:rsid w:val="00734B94"/>
    <w:rsid w:val="00735B03"/>
    <w:rsid w:val="00741430"/>
    <w:rsid w:val="0074392B"/>
    <w:rsid w:val="00745F7A"/>
    <w:rsid w:val="00750817"/>
    <w:rsid w:val="0075137D"/>
    <w:rsid w:val="007530F8"/>
    <w:rsid w:val="00756C6B"/>
    <w:rsid w:val="007579EE"/>
    <w:rsid w:val="007602B9"/>
    <w:rsid w:val="00760DDB"/>
    <w:rsid w:val="0076274C"/>
    <w:rsid w:val="00762E81"/>
    <w:rsid w:val="007634FA"/>
    <w:rsid w:val="0076368C"/>
    <w:rsid w:val="007661CD"/>
    <w:rsid w:val="00766664"/>
    <w:rsid w:val="00766B5F"/>
    <w:rsid w:val="0076746D"/>
    <w:rsid w:val="00771A37"/>
    <w:rsid w:val="0077629B"/>
    <w:rsid w:val="00777C2A"/>
    <w:rsid w:val="00780BD1"/>
    <w:rsid w:val="00781386"/>
    <w:rsid w:val="00781C5C"/>
    <w:rsid w:val="007847A9"/>
    <w:rsid w:val="00784810"/>
    <w:rsid w:val="00784C50"/>
    <w:rsid w:val="00784D2C"/>
    <w:rsid w:val="00785C90"/>
    <w:rsid w:val="00785E69"/>
    <w:rsid w:val="0078610C"/>
    <w:rsid w:val="00786508"/>
    <w:rsid w:val="00786EEA"/>
    <w:rsid w:val="0079064E"/>
    <w:rsid w:val="00790E05"/>
    <w:rsid w:val="00791A7A"/>
    <w:rsid w:val="00791C78"/>
    <w:rsid w:val="0079243F"/>
    <w:rsid w:val="00793A57"/>
    <w:rsid w:val="007945B9"/>
    <w:rsid w:val="007952E9"/>
    <w:rsid w:val="00797158"/>
    <w:rsid w:val="00797E4A"/>
    <w:rsid w:val="007A1D2A"/>
    <w:rsid w:val="007A284C"/>
    <w:rsid w:val="007A2C74"/>
    <w:rsid w:val="007A4375"/>
    <w:rsid w:val="007A5B8D"/>
    <w:rsid w:val="007A700E"/>
    <w:rsid w:val="007A7F8D"/>
    <w:rsid w:val="007B166D"/>
    <w:rsid w:val="007B7206"/>
    <w:rsid w:val="007C10EE"/>
    <w:rsid w:val="007C1805"/>
    <w:rsid w:val="007C25C5"/>
    <w:rsid w:val="007C2D5E"/>
    <w:rsid w:val="007C4263"/>
    <w:rsid w:val="007C5C50"/>
    <w:rsid w:val="007C768A"/>
    <w:rsid w:val="007C7776"/>
    <w:rsid w:val="007C7AA5"/>
    <w:rsid w:val="007D0093"/>
    <w:rsid w:val="007D0CC3"/>
    <w:rsid w:val="007D2207"/>
    <w:rsid w:val="007D2519"/>
    <w:rsid w:val="007D3693"/>
    <w:rsid w:val="007D56D0"/>
    <w:rsid w:val="007D6454"/>
    <w:rsid w:val="007E0EA1"/>
    <w:rsid w:val="007E25B1"/>
    <w:rsid w:val="007E274C"/>
    <w:rsid w:val="007E3F9B"/>
    <w:rsid w:val="007E490C"/>
    <w:rsid w:val="007E53E4"/>
    <w:rsid w:val="007E5C2C"/>
    <w:rsid w:val="007E6E8A"/>
    <w:rsid w:val="007F05E4"/>
    <w:rsid w:val="007F06D0"/>
    <w:rsid w:val="007F0CB2"/>
    <w:rsid w:val="007F1575"/>
    <w:rsid w:val="007F2616"/>
    <w:rsid w:val="007F2C33"/>
    <w:rsid w:val="007F2F9B"/>
    <w:rsid w:val="007F33A3"/>
    <w:rsid w:val="007F4030"/>
    <w:rsid w:val="007F4E14"/>
    <w:rsid w:val="007F5332"/>
    <w:rsid w:val="007F641B"/>
    <w:rsid w:val="007F67E2"/>
    <w:rsid w:val="007F7F78"/>
    <w:rsid w:val="00801A77"/>
    <w:rsid w:val="00801F10"/>
    <w:rsid w:val="00802C79"/>
    <w:rsid w:val="008050EC"/>
    <w:rsid w:val="00805850"/>
    <w:rsid w:val="008072B5"/>
    <w:rsid w:val="00810619"/>
    <w:rsid w:val="00810F19"/>
    <w:rsid w:val="008112EE"/>
    <w:rsid w:val="00811367"/>
    <w:rsid w:val="00811B1E"/>
    <w:rsid w:val="00811DC0"/>
    <w:rsid w:val="0081223C"/>
    <w:rsid w:val="008130D0"/>
    <w:rsid w:val="00813460"/>
    <w:rsid w:val="008141C6"/>
    <w:rsid w:val="0081433A"/>
    <w:rsid w:val="008154E5"/>
    <w:rsid w:val="00816293"/>
    <w:rsid w:val="00816E1B"/>
    <w:rsid w:val="008173EA"/>
    <w:rsid w:val="00820287"/>
    <w:rsid w:val="00821F96"/>
    <w:rsid w:val="00822497"/>
    <w:rsid w:val="00822FC1"/>
    <w:rsid w:val="008232A0"/>
    <w:rsid w:val="008238DE"/>
    <w:rsid w:val="00824049"/>
    <w:rsid w:val="008246CB"/>
    <w:rsid w:val="0082477E"/>
    <w:rsid w:val="008251E4"/>
    <w:rsid w:val="00826319"/>
    <w:rsid w:val="00830416"/>
    <w:rsid w:val="00830A67"/>
    <w:rsid w:val="00831A7A"/>
    <w:rsid w:val="00831C41"/>
    <w:rsid w:val="00832B22"/>
    <w:rsid w:val="00832F97"/>
    <w:rsid w:val="00833257"/>
    <w:rsid w:val="008332BF"/>
    <w:rsid w:val="00833639"/>
    <w:rsid w:val="00833F48"/>
    <w:rsid w:val="0084049B"/>
    <w:rsid w:val="008408AD"/>
    <w:rsid w:val="00840FE7"/>
    <w:rsid w:val="00841555"/>
    <w:rsid w:val="008426A2"/>
    <w:rsid w:val="00843E2C"/>
    <w:rsid w:val="008440C2"/>
    <w:rsid w:val="00852ECF"/>
    <w:rsid w:val="008532B4"/>
    <w:rsid w:val="00855C50"/>
    <w:rsid w:val="00857239"/>
    <w:rsid w:val="008572D7"/>
    <w:rsid w:val="008577AA"/>
    <w:rsid w:val="008602B5"/>
    <w:rsid w:val="00860B71"/>
    <w:rsid w:val="008616E8"/>
    <w:rsid w:val="0086242B"/>
    <w:rsid w:val="008635C8"/>
    <w:rsid w:val="00863BB6"/>
    <w:rsid w:val="00864767"/>
    <w:rsid w:val="008659F3"/>
    <w:rsid w:val="00865CB0"/>
    <w:rsid w:val="008662B8"/>
    <w:rsid w:val="008668B4"/>
    <w:rsid w:val="008668E2"/>
    <w:rsid w:val="00870CBD"/>
    <w:rsid w:val="0087284A"/>
    <w:rsid w:val="00873CF8"/>
    <w:rsid w:val="008745D3"/>
    <w:rsid w:val="0087553E"/>
    <w:rsid w:val="00876F66"/>
    <w:rsid w:val="0087758C"/>
    <w:rsid w:val="00880609"/>
    <w:rsid w:val="008813B2"/>
    <w:rsid w:val="008823AC"/>
    <w:rsid w:val="00882747"/>
    <w:rsid w:val="00883238"/>
    <w:rsid w:val="00885811"/>
    <w:rsid w:val="00886E80"/>
    <w:rsid w:val="00890F98"/>
    <w:rsid w:val="0089218E"/>
    <w:rsid w:val="0089397C"/>
    <w:rsid w:val="00894801"/>
    <w:rsid w:val="00894C50"/>
    <w:rsid w:val="0089710A"/>
    <w:rsid w:val="00897F4B"/>
    <w:rsid w:val="008A0024"/>
    <w:rsid w:val="008A0038"/>
    <w:rsid w:val="008A09B9"/>
    <w:rsid w:val="008A1193"/>
    <w:rsid w:val="008A1281"/>
    <w:rsid w:val="008A1AA7"/>
    <w:rsid w:val="008A1FF9"/>
    <w:rsid w:val="008A2485"/>
    <w:rsid w:val="008A3870"/>
    <w:rsid w:val="008A3E95"/>
    <w:rsid w:val="008A4952"/>
    <w:rsid w:val="008A7F0B"/>
    <w:rsid w:val="008B0415"/>
    <w:rsid w:val="008B0EBE"/>
    <w:rsid w:val="008B102E"/>
    <w:rsid w:val="008B1490"/>
    <w:rsid w:val="008B200C"/>
    <w:rsid w:val="008B2546"/>
    <w:rsid w:val="008B28E2"/>
    <w:rsid w:val="008B3B88"/>
    <w:rsid w:val="008B4056"/>
    <w:rsid w:val="008B4C22"/>
    <w:rsid w:val="008B6706"/>
    <w:rsid w:val="008B6D94"/>
    <w:rsid w:val="008C06CD"/>
    <w:rsid w:val="008C1583"/>
    <w:rsid w:val="008C3580"/>
    <w:rsid w:val="008C3F64"/>
    <w:rsid w:val="008C439A"/>
    <w:rsid w:val="008C474F"/>
    <w:rsid w:val="008C6D0A"/>
    <w:rsid w:val="008C6D3F"/>
    <w:rsid w:val="008D0D4A"/>
    <w:rsid w:val="008D1FCD"/>
    <w:rsid w:val="008D39B2"/>
    <w:rsid w:val="008D4292"/>
    <w:rsid w:val="008D433E"/>
    <w:rsid w:val="008D70C1"/>
    <w:rsid w:val="008D7666"/>
    <w:rsid w:val="008D79A7"/>
    <w:rsid w:val="008E1CE9"/>
    <w:rsid w:val="008E2233"/>
    <w:rsid w:val="008E232A"/>
    <w:rsid w:val="008E333A"/>
    <w:rsid w:val="008E3716"/>
    <w:rsid w:val="008E3F74"/>
    <w:rsid w:val="008E41BE"/>
    <w:rsid w:val="008E4A47"/>
    <w:rsid w:val="008E5CBA"/>
    <w:rsid w:val="008E6610"/>
    <w:rsid w:val="008E798D"/>
    <w:rsid w:val="008E7C1F"/>
    <w:rsid w:val="008E7EEA"/>
    <w:rsid w:val="008E7FEE"/>
    <w:rsid w:val="008F00E9"/>
    <w:rsid w:val="008F1812"/>
    <w:rsid w:val="008F1FFC"/>
    <w:rsid w:val="008F212A"/>
    <w:rsid w:val="008F3772"/>
    <w:rsid w:val="008F3EC3"/>
    <w:rsid w:val="008F4B31"/>
    <w:rsid w:val="008F6DAB"/>
    <w:rsid w:val="008F709B"/>
    <w:rsid w:val="008F7FEE"/>
    <w:rsid w:val="009009B1"/>
    <w:rsid w:val="009046D5"/>
    <w:rsid w:val="009069CF"/>
    <w:rsid w:val="009127DF"/>
    <w:rsid w:val="009154AB"/>
    <w:rsid w:val="00916DBA"/>
    <w:rsid w:val="00917D1D"/>
    <w:rsid w:val="009206B2"/>
    <w:rsid w:val="00922D5D"/>
    <w:rsid w:val="00923868"/>
    <w:rsid w:val="00923F8F"/>
    <w:rsid w:val="0092515A"/>
    <w:rsid w:val="0093054F"/>
    <w:rsid w:val="0093077A"/>
    <w:rsid w:val="0093420B"/>
    <w:rsid w:val="0093423B"/>
    <w:rsid w:val="00940D77"/>
    <w:rsid w:val="00941A1A"/>
    <w:rsid w:val="00941AF5"/>
    <w:rsid w:val="009426D6"/>
    <w:rsid w:val="00943210"/>
    <w:rsid w:val="0094403B"/>
    <w:rsid w:val="0094671B"/>
    <w:rsid w:val="00947BF6"/>
    <w:rsid w:val="00950D88"/>
    <w:rsid w:val="00951DAB"/>
    <w:rsid w:val="009550AF"/>
    <w:rsid w:val="00955AA1"/>
    <w:rsid w:val="00960F8A"/>
    <w:rsid w:val="00963283"/>
    <w:rsid w:val="00963BB6"/>
    <w:rsid w:val="00963E7A"/>
    <w:rsid w:val="009653FF"/>
    <w:rsid w:val="009662D2"/>
    <w:rsid w:val="0096631F"/>
    <w:rsid w:val="00966665"/>
    <w:rsid w:val="0096740E"/>
    <w:rsid w:val="009709E0"/>
    <w:rsid w:val="00971AFD"/>
    <w:rsid w:val="0097249B"/>
    <w:rsid w:val="00972795"/>
    <w:rsid w:val="009753B2"/>
    <w:rsid w:val="00975C60"/>
    <w:rsid w:val="0097648D"/>
    <w:rsid w:val="009776AF"/>
    <w:rsid w:val="00980331"/>
    <w:rsid w:val="009805A9"/>
    <w:rsid w:val="00980648"/>
    <w:rsid w:val="00983307"/>
    <w:rsid w:val="00984BE9"/>
    <w:rsid w:val="00984F4B"/>
    <w:rsid w:val="00986B01"/>
    <w:rsid w:val="00990DF6"/>
    <w:rsid w:val="00993357"/>
    <w:rsid w:val="00993CD4"/>
    <w:rsid w:val="00993DD1"/>
    <w:rsid w:val="00993F93"/>
    <w:rsid w:val="009940AC"/>
    <w:rsid w:val="0099607E"/>
    <w:rsid w:val="00996100"/>
    <w:rsid w:val="009969F7"/>
    <w:rsid w:val="00997207"/>
    <w:rsid w:val="00997443"/>
    <w:rsid w:val="0099775B"/>
    <w:rsid w:val="00997FE7"/>
    <w:rsid w:val="009A050A"/>
    <w:rsid w:val="009A120D"/>
    <w:rsid w:val="009A1F9A"/>
    <w:rsid w:val="009A27DD"/>
    <w:rsid w:val="009A2E25"/>
    <w:rsid w:val="009A453C"/>
    <w:rsid w:val="009A4825"/>
    <w:rsid w:val="009A5C7D"/>
    <w:rsid w:val="009B2637"/>
    <w:rsid w:val="009B26AF"/>
    <w:rsid w:val="009B26B5"/>
    <w:rsid w:val="009B2A62"/>
    <w:rsid w:val="009B2F5B"/>
    <w:rsid w:val="009B323E"/>
    <w:rsid w:val="009B3360"/>
    <w:rsid w:val="009B49AD"/>
    <w:rsid w:val="009B4C59"/>
    <w:rsid w:val="009B54B1"/>
    <w:rsid w:val="009B5F7D"/>
    <w:rsid w:val="009B6856"/>
    <w:rsid w:val="009C0F36"/>
    <w:rsid w:val="009C1FE0"/>
    <w:rsid w:val="009C3911"/>
    <w:rsid w:val="009C475E"/>
    <w:rsid w:val="009D00E1"/>
    <w:rsid w:val="009D173F"/>
    <w:rsid w:val="009D196D"/>
    <w:rsid w:val="009D20D1"/>
    <w:rsid w:val="009D21E8"/>
    <w:rsid w:val="009D3592"/>
    <w:rsid w:val="009D439A"/>
    <w:rsid w:val="009D49E1"/>
    <w:rsid w:val="009D7163"/>
    <w:rsid w:val="009D71C1"/>
    <w:rsid w:val="009D7C09"/>
    <w:rsid w:val="009E1F10"/>
    <w:rsid w:val="009E5804"/>
    <w:rsid w:val="009E5B0D"/>
    <w:rsid w:val="009E774B"/>
    <w:rsid w:val="009F1D1A"/>
    <w:rsid w:val="009F343E"/>
    <w:rsid w:val="009F654E"/>
    <w:rsid w:val="009F79E2"/>
    <w:rsid w:val="009F7FA4"/>
    <w:rsid w:val="00A00720"/>
    <w:rsid w:val="00A0121C"/>
    <w:rsid w:val="00A02B61"/>
    <w:rsid w:val="00A03E0A"/>
    <w:rsid w:val="00A04150"/>
    <w:rsid w:val="00A04488"/>
    <w:rsid w:val="00A04F89"/>
    <w:rsid w:val="00A05F5C"/>
    <w:rsid w:val="00A06A8B"/>
    <w:rsid w:val="00A12791"/>
    <w:rsid w:val="00A12B78"/>
    <w:rsid w:val="00A13371"/>
    <w:rsid w:val="00A21C28"/>
    <w:rsid w:val="00A22F86"/>
    <w:rsid w:val="00A2424C"/>
    <w:rsid w:val="00A24A4E"/>
    <w:rsid w:val="00A24CAE"/>
    <w:rsid w:val="00A24F23"/>
    <w:rsid w:val="00A25030"/>
    <w:rsid w:val="00A25839"/>
    <w:rsid w:val="00A25F79"/>
    <w:rsid w:val="00A26163"/>
    <w:rsid w:val="00A271DB"/>
    <w:rsid w:val="00A300D9"/>
    <w:rsid w:val="00A3066D"/>
    <w:rsid w:val="00A32400"/>
    <w:rsid w:val="00A33713"/>
    <w:rsid w:val="00A341C7"/>
    <w:rsid w:val="00A3437E"/>
    <w:rsid w:val="00A3531D"/>
    <w:rsid w:val="00A402E0"/>
    <w:rsid w:val="00A409F2"/>
    <w:rsid w:val="00A40BD7"/>
    <w:rsid w:val="00A40C08"/>
    <w:rsid w:val="00A42750"/>
    <w:rsid w:val="00A42B4A"/>
    <w:rsid w:val="00A42DB2"/>
    <w:rsid w:val="00A433A9"/>
    <w:rsid w:val="00A45EA1"/>
    <w:rsid w:val="00A463EA"/>
    <w:rsid w:val="00A464A8"/>
    <w:rsid w:val="00A47A09"/>
    <w:rsid w:val="00A51824"/>
    <w:rsid w:val="00A52605"/>
    <w:rsid w:val="00A52A84"/>
    <w:rsid w:val="00A52B2E"/>
    <w:rsid w:val="00A5547C"/>
    <w:rsid w:val="00A56809"/>
    <w:rsid w:val="00A56E60"/>
    <w:rsid w:val="00A60052"/>
    <w:rsid w:val="00A60322"/>
    <w:rsid w:val="00A60990"/>
    <w:rsid w:val="00A614DD"/>
    <w:rsid w:val="00A62D76"/>
    <w:rsid w:val="00A62FA3"/>
    <w:rsid w:val="00A63C54"/>
    <w:rsid w:val="00A643ED"/>
    <w:rsid w:val="00A67130"/>
    <w:rsid w:val="00A6764C"/>
    <w:rsid w:val="00A71A34"/>
    <w:rsid w:val="00A71B9F"/>
    <w:rsid w:val="00A754E9"/>
    <w:rsid w:val="00A76590"/>
    <w:rsid w:val="00A7686A"/>
    <w:rsid w:val="00A77202"/>
    <w:rsid w:val="00A77EE2"/>
    <w:rsid w:val="00A810DF"/>
    <w:rsid w:val="00A8282E"/>
    <w:rsid w:val="00A833A9"/>
    <w:rsid w:val="00A83718"/>
    <w:rsid w:val="00A84F13"/>
    <w:rsid w:val="00A86DD4"/>
    <w:rsid w:val="00A875EE"/>
    <w:rsid w:val="00A877D4"/>
    <w:rsid w:val="00A87A34"/>
    <w:rsid w:val="00A87A58"/>
    <w:rsid w:val="00A900F5"/>
    <w:rsid w:val="00A90B57"/>
    <w:rsid w:val="00A925C5"/>
    <w:rsid w:val="00A95A41"/>
    <w:rsid w:val="00A97A05"/>
    <w:rsid w:val="00AA0042"/>
    <w:rsid w:val="00AA0218"/>
    <w:rsid w:val="00AA19B5"/>
    <w:rsid w:val="00AA1A8E"/>
    <w:rsid w:val="00AA2311"/>
    <w:rsid w:val="00AA30EE"/>
    <w:rsid w:val="00AA460E"/>
    <w:rsid w:val="00AA4B19"/>
    <w:rsid w:val="00AA5BAE"/>
    <w:rsid w:val="00AA614C"/>
    <w:rsid w:val="00AA7272"/>
    <w:rsid w:val="00AB059B"/>
    <w:rsid w:val="00AB09BE"/>
    <w:rsid w:val="00AB1D17"/>
    <w:rsid w:val="00AB2D8A"/>
    <w:rsid w:val="00AB35A7"/>
    <w:rsid w:val="00AB38B8"/>
    <w:rsid w:val="00AB3B7A"/>
    <w:rsid w:val="00AC1037"/>
    <w:rsid w:val="00AC2E9D"/>
    <w:rsid w:val="00AC2EBE"/>
    <w:rsid w:val="00AC303E"/>
    <w:rsid w:val="00AC4026"/>
    <w:rsid w:val="00AC59D0"/>
    <w:rsid w:val="00AC64BA"/>
    <w:rsid w:val="00AC7380"/>
    <w:rsid w:val="00AC7F33"/>
    <w:rsid w:val="00AD0CC6"/>
    <w:rsid w:val="00AD1918"/>
    <w:rsid w:val="00AD225F"/>
    <w:rsid w:val="00AD377E"/>
    <w:rsid w:val="00AD3880"/>
    <w:rsid w:val="00AD4E56"/>
    <w:rsid w:val="00AD541D"/>
    <w:rsid w:val="00AD55B0"/>
    <w:rsid w:val="00AD59FA"/>
    <w:rsid w:val="00AE0B63"/>
    <w:rsid w:val="00AE2DA9"/>
    <w:rsid w:val="00AE2FCC"/>
    <w:rsid w:val="00AE40B8"/>
    <w:rsid w:val="00AF30B3"/>
    <w:rsid w:val="00AF3BF0"/>
    <w:rsid w:val="00AF51E7"/>
    <w:rsid w:val="00AF6206"/>
    <w:rsid w:val="00AF6660"/>
    <w:rsid w:val="00B00F6F"/>
    <w:rsid w:val="00B01B36"/>
    <w:rsid w:val="00B02E06"/>
    <w:rsid w:val="00B03AB5"/>
    <w:rsid w:val="00B0606F"/>
    <w:rsid w:val="00B071D4"/>
    <w:rsid w:val="00B07248"/>
    <w:rsid w:val="00B10877"/>
    <w:rsid w:val="00B12875"/>
    <w:rsid w:val="00B13522"/>
    <w:rsid w:val="00B1421D"/>
    <w:rsid w:val="00B1497D"/>
    <w:rsid w:val="00B15FA8"/>
    <w:rsid w:val="00B17F84"/>
    <w:rsid w:val="00B2065C"/>
    <w:rsid w:val="00B21E0C"/>
    <w:rsid w:val="00B225D9"/>
    <w:rsid w:val="00B2749B"/>
    <w:rsid w:val="00B27A55"/>
    <w:rsid w:val="00B30AF2"/>
    <w:rsid w:val="00B348A7"/>
    <w:rsid w:val="00B3529B"/>
    <w:rsid w:val="00B361BC"/>
    <w:rsid w:val="00B4011F"/>
    <w:rsid w:val="00B407AF"/>
    <w:rsid w:val="00B40FE3"/>
    <w:rsid w:val="00B43131"/>
    <w:rsid w:val="00B44A50"/>
    <w:rsid w:val="00B44BD3"/>
    <w:rsid w:val="00B4531E"/>
    <w:rsid w:val="00B4634E"/>
    <w:rsid w:val="00B4691F"/>
    <w:rsid w:val="00B472F9"/>
    <w:rsid w:val="00B5001C"/>
    <w:rsid w:val="00B50E9F"/>
    <w:rsid w:val="00B524D7"/>
    <w:rsid w:val="00B52E1E"/>
    <w:rsid w:val="00B53273"/>
    <w:rsid w:val="00B53612"/>
    <w:rsid w:val="00B5748F"/>
    <w:rsid w:val="00B576DA"/>
    <w:rsid w:val="00B61E24"/>
    <w:rsid w:val="00B61E54"/>
    <w:rsid w:val="00B621ED"/>
    <w:rsid w:val="00B62D24"/>
    <w:rsid w:val="00B63738"/>
    <w:rsid w:val="00B64531"/>
    <w:rsid w:val="00B64DF1"/>
    <w:rsid w:val="00B6526A"/>
    <w:rsid w:val="00B67448"/>
    <w:rsid w:val="00B7141B"/>
    <w:rsid w:val="00B71666"/>
    <w:rsid w:val="00B72069"/>
    <w:rsid w:val="00B73C93"/>
    <w:rsid w:val="00B75BF5"/>
    <w:rsid w:val="00B75C23"/>
    <w:rsid w:val="00B75DB8"/>
    <w:rsid w:val="00B760FB"/>
    <w:rsid w:val="00B76418"/>
    <w:rsid w:val="00B80B2A"/>
    <w:rsid w:val="00B80D7E"/>
    <w:rsid w:val="00B80F40"/>
    <w:rsid w:val="00B82D73"/>
    <w:rsid w:val="00B83ECC"/>
    <w:rsid w:val="00B841CC"/>
    <w:rsid w:val="00B84988"/>
    <w:rsid w:val="00B91AE2"/>
    <w:rsid w:val="00B92910"/>
    <w:rsid w:val="00B93A7F"/>
    <w:rsid w:val="00B93EB6"/>
    <w:rsid w:val="00B95883"/>
    <w:rsid w:val="00B96393"/>
    <w:rsid w:val="00B967B4"/>
    <w:rsid w:val="00B968F0"/>
    <w:rsid w:val="00BA0B39"/>
    <w:rsid w:val="00BA11AB"/>
    <w:rsid w:val="00BA26B7"/>
    <w:rsid w:val="00BA49E8"/>
    <w:rsid w:val="00BA5EED"/>
    <w:rsid w:val="00BA7E67"/>
    <w:rsid w:val="00BB10B8"/>
    <w:rsid w:val="00BB1CFD"/>
    <w:rsid w:val="00BB2855"/>
    <w:rsid w:val="00BB381B"/>
    <w:rsid w:val="00BB49EF"/>
    <w:rsid w:val="00BB5313"/>
    <w:rsid w:val="00BB547F"/>
    <w:rsid w:val="00BB614F"/>
    <w:rsid w:val="00BB6A23"/>
    <w:rsid w:val="00BB7F20"/>
    <w:rsid w:val="00BC1F23"/>
    <w:rsid w:val="00BC27C7"/>
    <w:rsid w:val="00BC3913"/>
    <w:rsid w:val="00BC4CEC"/>
    <w:rsid w:val="00BC580B"/>
    <w:rsid w:val="00BC706E"/>
    <w:rsid w:val="00BC7C93"/>
    <w:rsid w:val="00BD1749"/>
    <w:rsid w:val="00BD2C9B"/>
    <w:rsid w:val="00BD351A"/>
    <w:rsid w:val="00BD6693"/>
    <w:rsid w:val="00BE07A5"/>
    <w:rsid w:val="00BE09BD"/>
    <w:rsid w:val="00BE09DF"/>
    <w:rsid w:val="00BE0D07"/>
    <w:rsid w:val="00BE127A"/>
    <w:rsid w:val="00BE1D2D"/>
    <w:rsid w:val="00BE1D6D"/>
    <w:rsid w:val="00BE24C3"/>
    <w:rsid w:val="00BE3AEA"/>
    <w:rsid w:val="00BE5543"/>
    <w:rsid w:val="00BE5A70"/>
    <w:rsid w:val="00BE6E00"/>
    <w:rsid w:val="00BE7237"/>
    <w:rsid w:val="00BE7CFE"/>
    <w:rsid w:val="00BF0831"/>
    <w:rsid w:val="00BF0EB5"/>
    <w:rsid w:val="00BF149B"/>
    <w:rsid w:val="00BF3D51"/>
    <w:rsid w:val="00BF411D"/>
    <w:rsid w:val="00BF4789"/>
    <w:rsid w:val="00BF5349"/>
    <w:rsid w:val="00BF5400"/>
    <w:rsid w:val="00BF7E13"/>
    <w:rsid w:val="00C009AF"/>
    <w:rsid w:val="00C015FF"/>
    <w:rsid w:val="00C01737"/>
    <w:rsid w:val="00C060D6"/>
    <w:rsid w:val="00C07C3D"/>
    <w:rsid w:val="00C105BE"/>
    <w:rsid w:val="00C107E5"/>
    <w:rsid w:val="00C14C86"/>
    <w:rsid w:val="00C15560"/>
    <w:rsid w:val="00C1707E"/>
    <w:rsid w:val="00C173C0"/>
    <w:rsid w:val="00C177AC"/>
    <w:rsid w:val="00C21218"/>
    <w:rsid w:val="00C226A0"/>
    <w:rsid w:val="00C234B0"/>
    <w:rsid w:val="00C236DB"/>
    <w:rsid w:val="00C24BE1"/>
    <w:rsid w:val="00C25256"/>
    <w:rsid w:val="00C254ED"/>
    <w:rsid w:val="00C259DC"/>
    <w:rsid w:val="00C26CDC"/>
    <w:rsid w:val="00C2702B"/>
    <w:rsid w:val="00C27F2E"/>
    <w:rsid w:val="00C32C48"/>
    <w:rsid w:val="00C3349F"/>
    <w:rsid w:val="00C33A6F"/>
    <w:rsid w:val="00C368F3"/>
    <w:rsid w:val="00C36AF9"/>
    <w:rsid w:val="00C37422"/>
    <w:rsid w:val="00C40BA8"/>
    <w:rsid w:val="00C41188"/>
    <w:rsid w:val="00C41F8E"/>
    <w:rsid w:val="00C430AC"/>
    <w:rsid w:val="00C4466E"/>
    <w:rsid w:val="00C459E5"/>
    <w:rsid w:val="00C47A3B"/>
    <w:rsid w:val="00C47C5C"/>
    <w:rsid w:val="00C501A2"/>
    <w:rsid w:val="00C504D9"/>
    <w:rsid w:val="00C53CA7"/>
    <w:rsid w:val="00C54D3D"/>
    <w:rsid w:val="00C553C4"/>
    <w:rsid w:val="00C55EFF"/>
    <w:rsid w:val="00C56685"/>
    <w:rsid w:val="00C56E21"/>
    <w:rsid w:val="00C609E3"/>
    <w:rsid w:val="00C62126"/>
    <w:rsid w:val="00C63437"/>
    <w:rsid w:val="00C658A0"/>
    <w:rsid w:val="00C65CE5"/>
    <w:rsid w:val="00C66AFD"/>
    <w:rsid w:val="00C6709F"/>
    <w:rsid w:val="00C67B08"/>
    <w:rsid w:val="00C70031"/>
    <w:rsid w:val="00C70182"/>
    <w:rsid w:val="00C7073B"/>
    <w:rsid w:val="00C711B6"/>
    <w:rsid w:val="00C72B65"/>
    <w:rsid w:val="00C73715"/>
    <w:rsid w:val="00C73BC3"/>
    <w:rsid w:val="00C74F95"/>
    <w:rsid w:val="00C75DFE"/>
    <w:rsid w:val="00C771AB"/>
    <w:rsid w:val="00C778A7"/>
    <w:rsid w:val="00C77D1E"/>
    <w:rsid w:val="00C80779"/>
    <w:rsid w:val="00C814CD"/>
    <w:rsid w:val="00C81A96"/>
    <w:rsid w:val="00C81C1D"/>
    <w:rsid w:val="00C81E67"/>
    <w:rsid w:val="00C82A56"/>
    <w:rsid w:val="00C838DB"/>
    <w:rsid w:val="00C83DA8"/>
    <w:rsid w:val="00C83DD5"/>
    <w:rsid w:val="00C90DF8"/>
    <w:rsid w:val="00C93F89"/>
    <w:rsid w:val="00C95283"/>
    <w:rsid w:val="00C953BB"/>
    <w:rsid w:val="00C95A21"/>
    <w:rsid w:val="00C95BA2"/>
    <w:rsid w:val="00C96DC7"/>
    <w:rsid w:val="00CA1641"/>
    <w:rsid w:val="00CA1DFE"/>
    <w:rsid w:val="00CA1F87"/>
    <w:rsid w:val="00CA21AC"/>
    <w:rsid w:val="00CA25F1"/>
    <w:rsid w:val="00CA3375"/>
    <w:rsid w:val="00CA35A4"/>
    <w:rsid w:val="00CA386F"/>
    <w:rsid w:val="00CA532A"/>
    <w:rsid w:val="00CA597E"/>
    <w:rsid w:val="00CA5CD9"/>
    <w:rsid w:val="00CA77AB"/>
    <w:rsid w:val="00CB0920"/>
    <w:rsid w:val="00CB1C22"/>
    <w:rsid w:val="00CB30AE"/>
    <w:rsid w:val="00CB4BA2"/>
    <w:rsid w:val="00CB4F2F"/>
    <w:rsid w:val="00CB6F19"/>
    <w:rsid w:val="00CB7737"/>
    <w:rsid w:val="00CC0C67"/>
    <w:rsid w:val="00CC2481"/>
    <w:rsid w:val="00CC4B0C"/>
    <w:rsid w:val="00CC5784"/>
    <w:rsid w:val="00CC5DBD"/>
    <w:rsid w:val="00CC7515"/>
    <w:rsid w:val="00CD2ABD"/>
    <w:rsid w:val="00CD31A8"/>
    <w:rsid w:val="00CD3AE6"/>
    <w:rsid w:val="00CD42B2"/>
    <w:rsid w:val="00CD4720"/>
    <w:rsid w:val="00CD6628"/>
    <w:rsid w:val="00CE056E"/>
    <w:rsid w:val="00CE2517"/>
    <w:rsid w:val="00CE2AAE"/>
    <w:rsid w:val="00CE46A1"/>
    <w:rsid w:val="00CE486D"/>
    <w:rsid w:val="00CE5851"/>
    <w:rsid w:val="00CE5DE7"/>
    <w:rsid w:val="00CE6A7D"/>
    <w:rsid w:val="00CE7FFD"/>
    <w:rsid w:val="00CF0240"/>
    <w:rsid w:val="00CF0A7E"/>
    <w:rsid w:val="00CF1C50"/>
    <w:rsid w:val="00CF1E74"/>
    <w:rsid w:val="00CF29E7"/>
    <w:rsid w:val="00CF2E70"/>
    <w:rsid w:val="00CF63FB"/>
    <w:rsid w:val="00CF6B04"/>
    <w:rsid w:val="00CF77A1"/>
    <w:rsid w:val="00D0004C"/>
    <w:rsid w:val="00D02A1B"/>
    <w:rsid w:val="00D02BC0"/>
    <w:rsid w:val="00D02C48"/>
    <w:rsid w:val="00D0355C"/>
    <w:rsid w:val="00D03FBF"/>
    <w:rsid w:val="00D04BE0"/>
    <w:rsid w:val="00D06C9E"/>
    <w:rsid w:val="00D06F3E"/>
    <w:rsid w:val="00D07726"/>
    <w:rsid w:val="00D10109"/>
    <w:rsid w:val="00D10A42"/>
    <w:rsid w:val="00D10D60"/>
    <w:rsid w:val="00D1188D"/>
    <w:rsid w:val="00D1207F"/>
    <w:rsid w:val="00D144C9"/>
    <w:rsid w:val="00D144FF"/>
    <w:rsid w:val="00D15EF9"/>
    <w:rsid w:val="00D2079E"/>
    <w:rsid w:val="00D20C42"/>
    <w:rsid w:val="00D20EF9"/>
    <w:rsid w:val="00D224F1"/>
    <w:rsid w:val="00D228BE"/>
    <w:rsid w:val="00D22F05"/>
    <w:rsid w:val="00D23CA9"/>
    <w:rsid w:val="00D23E9C"/>
    <w:rsid w:val="00D25417"/>
    <w:rsid w:val="00D26064"/>
    <w:rsid w:val="00D326B5"/>
    <w:rsid w:val="00D33096"/>
    <w:rsid w:val="00D348D8"/>
    <w:rsid w:val="00D35F7B"/>
    <w:rsid w:val="00D413D3"/>
    <w:rsid w:val="00D42955"/>
    <w:rsid w:val="00D42D7B"/>
    <w:rsid w:val="00D43BC0"/>
    <w:rsid w:val="00D43FDF"/>
    <w:rsid w:val="00D44069"/>
    <w:rsid w:val="00D443C9"/>
    <w:rsid w:val="00D47462"/>
    <w:rsid w:val="00D47B75"/>
    <w:rsid w:val="00D47D53"/>
    <w:rsid w:val="00D50EC1"/>
    <w:rsid w:val="00D51034"/>
    <w:rsid w:val="00D51986"/>
    <w:rsid w:val="00D52D17"/>
    <w:rsid w:val="00D553B1"/>
    <w:rsid w:val="00D56D4F"/>
    <w:rsid w:val="00D56F58"/>
    <w:rsid w:val="00D6112C"/>
    <w:rsid w:val="00D63BAB"/>
    <w:rsid w:val="00D63F5E"/>
    <w:rsid w:val="00D64818"/>
    <w:rsid w:val="00D70DFB"/>
    <w:rsid w:val="00D7139D"/>
    <w:rsid w:val="00D72477"/>
    <w:rsid w:val="00D73215"/>
    <w:rsid w:val="00D73593"/>
    <w:rsid w:val="00D73B26"/>
    <w:rsid w:val="00D73D12"/>
    <w:rsid w:val="00D744AB"/>
    <w:rsid w:val="00D749BE"/>
    <w:rsid w:val="00D74AED"/>
    <w:rsid w:val="00D75799"/>
    <w:rsid w:val="00D758F7"/>
    <w:rsid w:val="00D759C8"/>
    <w:rsid w:val="00D76314"/>
    <w:rsid w:val="00D76F73"/>
    <w:rsid w:val="00D8024A"/>
    <w:rsid w:val="00D80383"/>
    <w:rsid w:val="00D80C66"/>
    <w:rsid w:val="00D81215"/>
    <w:rsid w:val="00D81C98"/>
    <w:rsid w:val="00D81D17"/>
    <w:rsid w:val="00D820BB"/>
    <w:rsid w:val="00D8296D"/>
    <w:rsid w:val="00D82C8D"/>
    <w:rsid w:val="00D83A0F"/>
    <w:rsid w:val="00D852EF"/>
    <w:rsid w:val="00D861E8"/>
    <w:rsid w:val="00D90DE4"/>
    <w:rsid w:val="00D91789"/>
    <w:rsid w:val="00D917FA"/>
    <w:rsid w:val="00D94AA6"/>
    <w:rsid w:val="00D9569C"/>
    <w:rsid w:val="00D95752"/>
    <w:rsid w:val="00DA0843"/>
    <w:rsid w:val="00DA1C2F"/>
    <w:rsid w:val="00DA2237"/>
    <w:rsid w:val="00DA23AA"/>
    <w:rsid w:val="00DA26B8"/>
    <w:rsid w:val="00DA2E74"/>
    <w:rsid w:val="00DA470F"/>
    <w:rsid w:val="00DA542E"/>
    <w:rsid w:val="00DB042E"/>
    <w:rsid w:val="00DB0B9B"/>
    <w:rsid w:val="00DB0BC8"/>
    <w:rsid w:val="00DB0C10"/>
    <w:rsid w:val="00DB0CE5"/>
    <w:rsid w:val="00DB2E82"/>
    <w:rsid w:val="00DB3119"/>
    <w:rsid w:val="00DB3422"/>
    <w:rsid w:val="00DB367D"/>
    <w:rsid w:val="00DB54B2"/>
    <w:rsid w:val="00DB5C01"/>
    <w:rsid w:val="00DC160B"/>
    <w:rsid w:val="00DC1955"/>
    <w:rsid w:val="00DC3F51"/>
    <w:rsid w:val="00DC5549"/>
    <w:rsid w:val="00DC58E4"/>
    <w:rsid w:val="00DC59FC"/>
    <w:rsid w:val="00DD0C9F"/>
    <w:rsid w:val="00DD0D39"/>
    <w:rsid w:val="00DD2E8B"/>
    <w:rsid w:val="00DD3460"/>
    <w:rsid w:val="00DD49D1"/>
    <w:rsid w:val="00DD64D8"/>
    <w:rsid w:val="00DE1548"/>
    <w:rsid w:val="00DE3186"/>
    <w:rsid w:val="00DE3251"/>
    <w:rsid w:val="00DE4AA7"/>
    <w:rsid w:val="00DE6F67"/>
    <w:rsid w:val="00DF036D"/>
    <w:rsid w:val="00DF05A9"/>
    <w:rsid w:val="00DF19C2"/>
    <w:rsid w:val="00DF3962"/>
    <w:rsid w:val="00DF4280"/>
    <w:rsid w:val="00DF4AF6"/>
    <w:rsid w:val="00DF6CF6"/>
    <w:rsid w:val="00DF750C"/>
    <w:rsid w:val="00E01590"/>
    <w:rsid w:val="00E02DC8"/>
    <w:rsid w:val="00E039B6"/>
    <w:rsid w:val="00E03EAD"/>
    <w:rsid w:val="00E0403D"/>
    <w:rsid w:val="00E069E8"/>
    <w:rsid w:val="00E129B9"/>
    <w:rsid w:val="00E13B4F"/>
    <w:rsid w:val="00E16E14"/>
    <w:rsid w:val="00E2004B"/>
    <w:rsid w:val="00E20521"/>
    <w:rsid w:val="00E2186E"/>
    <w:rsid w:val="00E24C52"/>
    <w:rsid w:val="00E25C6F"/>
    <w:rsid w:val="00E26DAC"/>
    <w:rsid w:val="00E275C9"/>
    <w:rsid w:val="00E27934"/>
    <w:rsid w:val="00E27D96"/>
    <w:rsid w:val="00E319EE"/>
    <w:rsid w:val="00E31C6B"/>
    <w:rsid w:val="00E32691"/>
    <w:rsid w:val="00E32A29"/>
    <w:rsid w:val="00E32C9B"/>
    <w:rsid w:val="00E33482"/>
    <w:rsid w:val="00E3497B"/>
    <w:rsid w:val="00E34982"/>
    <w:rsid w:val="00E36641"/>
    <w:rsid w:val="00E36CA1"/>
    <w:rsid w:val="00E37D96"/>
    <w:rsid w:val="00E41863"/>
    <w:rsid w:val="00E42466"/>
    <w:rsid w:val="00E43352"/>
    <w:rsid w:val="00E43A7C"/>
    <w:rsid w:val="00E44284"/>
    <w:rsid w:val="00E44D1C"/>
    <w:rsid w:val="00E4563B"/>
    <w:rsid w:val="00E45842"/>
    <w:rsid w:val="00E464C2"/>
    <w:rsid w:val="00E46820"/>
    <w:rsid w:val="00E50C35"/>
    <w:rsid w:val="00E50DEE"/>
    <w:rsid w:val="00E52755"/>
    <w:rsid w:val="00E52CE5"/>
    <w:rsid w:val="00E536D9"/>
    <w:rsid w:val="00E54120"/>
    <w:rsid w:val="00E55829"/>
    <w:rsid w:val="00E56E14"/>
    <w:rsid w:val="00E60919"/>
    <w:rsid w:val="00E60A8D"/>
    <w:rsid w:val="00E63D8D"/>
    <w:rsid w:val="00E64879"/>
    <w:rsid w:val="00E6593D"/>
    <w:rsid w:val="00E66562"/>
    <w:rsid w:val="00E666DB"/>
    <w:rsid w:val="00E6772D"/>
    <w:rsid w:val="00E7083B"/>
    <w:rsid w:val="00E712DD"/>
    <w:rsid w:val="00E7195F"/>
    <w:rsid w:val="00E72B94"/>
    <w:rsid w:val="00E75DEF"/>
    <w:rsid w:val="00E77208"/>
    <w:rsid w:val="00E777C2"/>
    <w:rsid w:val="00E800E8"/>
    <w:rsid w:val="00E81545"/>
    <w:rsid w:val="00E84394"/>
    <w:rsid w:val="00E84C11"/>
    <w:rsid w:val="00E8504B"/>
    <w:rsid w:val="00E85949"/>
    <w:rsid w:val="00E85A05"/>
    <w:rsid w:val="00E8600A"/>
    <w:rsid w:val="00E9121D"/>
    <w:rsid w:val="00E92AE2"/>
    <w:rsid w:val="00E93439"/>
    <w:rsid w:val="00E937CA"/>
    <w:rsid w:val="00E93E90"/>
    <w:rsid w:val="00E9451D"/>
    <w:rsid w:val="00E977F1"/>
    <w:rsid w:val="00EA017E"/>
    <w:rsid w:val="00EA02A4"/>
    <w:rsid w:val="00EA03A0"/>
    <w:rsid w:val="00EA1F5C"/>
    <w:rsid w:val="00EA3924"/>
    <w:rsid w:val="00EA3ADE"/>
    <w:rsid w:val="00EA4140"/>
    <w:rsid w:val="00EA4C42"/>
    <w:rsid w:val="00EA4E83"/>
    <w:rsid w:val="00EA5060"/>
    <w:rsid w:val="00EB0C4A"/>
    <w:rsid w:val="00EB174B"/>
    <w:rsid w:val="00EB2ECB"/>
    <w:rsid w:val="00EB603B"/>
    <w:rsid w:val="00EB7C6A"/>
    <w:rsid w:val="00EC0BEA"/>
    <w:rsid w:val="00EC3002"/>
    <w:rsid w:val="00EC3663"/>
    <w:rsid w:val="00EC3D93"/>
    <w:rsid w:val="00EC69A8"/>
    <w:rsid w:val="00ED3960"/>
    <w:rsid w:val="00ED3B50"/>
    <w:rsid w:val="00ED42D2"/>
    <w:rsid w:val="00ED699F"/>
    <w:rsid w:val="00ED7329"/>
    <w:rsid w:val="00EE1883"/>
    <w:rsid w:val="00EE18FD"/>
    <w:rsid w:val="00EE22CF"/>
    <w:rsid w:val="00EE26B0"/>
    <w:rsid w:val="00EE3DE4"/>
    <w:rsid w:val="00EE6BDC"/>
    <w:rsid w:val="00EE7950"/>
    <w:rsid w:val="00EF2CAA"/>
    <w:rsid w:val="00EF393D"/>
    <w:rsid w:val="00EF420E"/>
    <w:rsid w:val="00F01CD8"/>
    <w:rsid w:val="00F0207E"/>
    <w:rsid w:val="00F02FCD"/>
    <w:rsid w:val="00F03FB2"/>
    <w:rsid w:val="00F0597F"/>
    <w:rsid w:val="00F06233"/>
    <w:rsid w:val="00F06519"/>
    <w:rsid w:val="00F06821"/>
    <w:rsid w:val="00F06E5E"/>
    <w:rsid w:val="00F077E6"/>
    <w:rsid w:val="00F10B6E"/>
    <w:rsid w:val="00F12BF0"/>
    <w:rsid w:val="00F12DC0"/>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F5B"/>
    <w:rsid w:val="00F2626D"/>
    <w:rsid w:val="00F269AD"/>
    <w:rsid w:val="00F27927"/>
    <w:rsid w:val="00F31B8A"/>
    <w:rsid w:val="00F32909"/>
    <w:rsid w:val="00F33FCC"/>
    <w:rsid w:val="00F359D6"/>
    <w:rsid w:val="00F40396"/>
    <w:rsid w:val="00F405C9"/>
    <w:rsid w:val="00F41EC3"/>
    <w:rsid w:val="00F423F4"/>
    <w:rsid w:val="00F42403"/>
    <w:rsid w:val="00F4595B"/>
    <w:rsid w:val="00F45FC9"/>
    <w:rsid w:val="00F46116"/>
    <w:rsid w:val="00F500A3"/>
    <w:rsid w:val="00F50BCA"/>
    <w:rsid w:val="00F513C0"/>
    <w:rsid w:val="00F51A9A"/>
    <w:rsid w:val="00F51CA6"/>
    <w:rsid w:val="00F5315B"/>
    <w:rsid w:val="00F535B5"/>
    <w:rsid w:val="00F54251"/>
    <w:rsid w:val="00F55A7C"/>
    <w:rsid w:val="00F55DA6"/>
    <w:rsid w:val="00F5634C"/>
    <w:rsid w:val="00F578D9"/>
    <w:rsid w:val="00F60E70"/>
    <w:rsid w:val="00F61688"/>
    <w:rsid w:val="00F6239C"/>
    <w:rsid w:val="00F62FA5"/>
    <w:rsid w:val="00F6597C"/>
    <w:rsid w:val="00F65D5E"/>
    <w:rsid w:val="00F674AA"/>
    <w:rsid w:val="00F67D63"/>
    <w:rsid w:val="00F7038E"/>
    <w:rsid w:val="00F70D49"/>
    <w:rsid w:val="00F72079"/>
    <w:rsid w:val="00F72D00"/>
    <w:rsid w:val="00F73572"/>
    <w:rsid w:val="00F75F2A"/>
    <w:rsid w:val="00F80406"/>
    <w:rsid w:val="00F8052C"/>
    <w:rsid w:val="00F81860"/>
    <w:rsid w:val="00F823A8"/>
    <w:rsid w:val="00F84113"/>
    <w:rsid w:val="00F858F6"/>
    <w:rsid w:val="00F9005C"/>
    <w:rsid w:val="00F90422"/>
    <w:rsid w:val="00F90CCB"/>
    <w:rsid w:val="00F91068"/>
    <w:rsid w:val="00F9126C"/>
    <w:rsid w:val="00F93196"/>
    <w:rsid w:val="00F94319"/>
    <w:rsid w:val="00F945C6"/>
    <w:rsid w:val="00F94A5B"/>
    <w:rsid w:val="00F94CC0"/>
    <w:rsid w:val="00F95EA4"/>
    <w:rsid w:val="00F95ECC"/>
    <w:rsid w:val="00F96A4B"/>
    <w:rsid w:val="00F97578"/>
    <w:rsid w:val="00FA458A"/>
    <w:rsid w:val="00FA46D4"/>
    <w:rsid w:val="00FA67AA"/>
    <w:rsid w:val="00FB2140"/>
    <w:rsid w:val="00FB3854"/>
    <w:rsid w:val="00FB447F"/>
    <w:rsid w:val="00FB5345"/>
    <w:rsid w:val="00FB63CB"/>
    <w:rsid w:val="00FB7FE4"/>
    <w:rsid w:val="00FC03ED"/>
    <w:rsid w:val="00FC0D4C"/>
    <w:rsid w:val="00FC2BDF"/>
    <w:rsid w:val="00FC32AD"/>
    <w:rsid w:val="00FC3C6F"/>
    <w:rsid w:val="00FC42B9"/>
    <w:rsid w:val="00FC5C08"/>
    <w:rsid w:val="00FC7564"/>
    <w:rsid w:val="00FD1289"/>
    <w:rsid w:val="00FD1C3C"/>
    <w:rsid w:val="00FD2B2B"/>
    <w:rsid w:val="00FD35B4"/>
    <w:rsid w:val="00FD3F96"/>
    <w:rsid w:val="00FD5B8F"/>
    <w:rsid w:val="00FD5EB9"/>
    <w:rsid w:val="00FD6A0E"/>
    <w:rsid w:val="00FD6CF7"/>
    <w:rsid w:val="00FE1A34"/>
    <w:rsid w:val="00FE1BF3"/>
    <w:rsid w:val="00FE1C9C"/>
    <w:rsid w:val="00FE2AB0"/>
    <w:rsid w:val="00FE385C"/>
    <w:rsid w:val="00FE42F7"/>
    <w:rsid w:val="00FE44DC"/>
    <w:rsid w:val="00FE7A4B"/>
    <w:rsid w:val="00FE7CA8"/>
    <w:rsid w:val="00FF0DCB"/>
    <w:rsid w:val="00FF11E6"/>
    <w:rsid w:val="00FF1226"/>
    <w:rsid w:val="00FF270F"/>
    <w:rsid w:val="00FF3EFA"/>
    <w:rsid w:val="00FF539A"/>
    <w:rsid w:val="00FF5876"/>
    <w:rsid w:val="00FF5898"/>
    <w:rsid w:val="00FF66C3"/>
    <w:rsid w:val="00FF6F63"/>
    <w:rsid w:val="00FF73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AEF11AB"/>
  <w15:docId w15:val="{70A672B3-875E-46F0-8C33-9503FA77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qFormat="1"/>
    <w:lsdException w:name="Emphasis" w:locked="1" w:uiPriority="0" w:qFormat="1"/>
    <w:lsdException w:name="Document Map" w:lock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D63"/>
    <w:pPr>
      <w:jc w:val="both"/>
    </w:pPr>
    <w:rPr>
      <w:lang w:eastAsia="en-US"/>
    </w:rPr>
  </w:style>
  <w:style w:type="paragraph" w:styleId="1">
    <w:name w:val="heading 1"/>
    <w:basedOn w:val="a"/>
    <w:next w:val="a"/>
    <w:link w:val="10"/>
    <w:qFormat/>
    <w:locked/>
    <w:rsid w:val="00717DEB"/>
    <w:pPr>
      <w:keepNext/>
      <w:keepLines/>
      <w:spacing w:before="340" w:after="330" w:line="578" w:lineRule="auto"/>
      <w:outlineLvl w:val="0"/>
    </w:pPr>
    <w:rPr>
      <w:b/>
      <w:bCs/>
      <w:kern w:val="44"/>
      <w:sz w:val="44"/>
      <w:szCs w:val="44"/>
    </w:rPr>
  </w:style>
  <w:style w:type="paragraph" w:styleId="2">
    <w:name w:val="heading 2"/>
    <w:basedOn w:val="a"/>
    <w:next w:val="a"/>
    <w:link w:val="20"/>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3">
    <w:name w:val="heading 3"/>
    <w:basedOn w:val="a"/>
    <w:next w:val="a"/>
    <w:link w:val="30"/>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17DEB"/>
    <w:rPr>
      <w:b/>
      <w:bCs/>
      <w:kern w:val="44"/>
      <w:sz w:val="44"/>
      <w:szCs w:val="44"/>
      <w:lang w:eastAsia="en-US"/>
    </w:rPr>
  </w:style>
  <w:style w:type="character" w:customStyle="1" w:styleId="20">
    <w:name w:val="标题 2 字符"/>
    <w:basedOn w:val="a0"/>
    <w:link w:val="2"/>
    <w:locked/>
    <w:rsid w:val="00D759C8"/>
    <w:rPr>
      <w:rFonts w:ascii="Cambria" w:eastAsia="宋体" w:hAnsi="Cambria" w:cs="Cambria"/>
      <w:b/>
      <w:bCs/>
      <w:kern w:val="0"/>
      <w:sz w:val="32"/>
      <w:szCs w:val="32"/>
      <w:lang w:eastAsia="en-US"/>
    </w:rPr>
  </w:style>
  <w:style w:type="character" w:customStyle="1" w:styleId="30">
    <w:name w:val="标题 3 字符"/>
    <w:basedOn w:val="a0"/>
    <w:link w:val="3"/>
    <w:locked/>
    <w:rsid w:val="00D759C8"/>
    <w:rPr>
      <w:b/>
      <w:bCs/>
      <w:kern w:val="0"/>
      <w:sz w:val="32"/>
      <w:szCs w:val="32"/>
      <w:lang w:eastAsia="en-US"/>
    </w:rPr>
  </w:style>
  <w:style w:type="character" w:styleId="a3">
    <w:name w:val="Hyperlink"/>
    <w:basedOn w:val="a0"/>
    <w:rsid w:val="00F67D63"/>
    <w:rPr>
      <w:color w:val="0000FF"/>
      <w:u w:val="single"/>
    </w:rPr>
  </w:style>
  <w:style w:type="paragraph" w:styleId="a4">
    <w:name w:val="header"/>
    <w:basedOn w:val="a"/>
    <w:link w:val="a5"/>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sid w:val="00E31C6B"/>
    <w:rPr>
      <w:sz w:val="18"/>
      <w:szCs w:val="18"/>
      <w:lang w:eastAsia="en-US"/>
    </w:rPr>
  </w:style>
  <w:style w:type="paragraph" w:styleId="a6">
    <w:name w:val="footer"/>
    <w:basedOn w:val="a"/>
    <w:link w:val="a7"/>
    <w:rsid w:val="00F67D63"/>
    <w:pPr>
      <w:tabs>
        <w:tab w:val="center" w:pos="4153"/>
        <w:tab w:val="right" w:pos="8306"/>
      </w:tabs>
      <w:snapToGrid w:val="0"/>
      <w:jc w:val="left"/>
    </w:pPr>
    <w:rPr>
      <w:sz w:val="18"/>
      <w:szCs w:val="18"/>
    </w:rPr>
  </w:style>
  <w:style w:type="character" w:customStyle="1" w:styleId="a7">
    <w:name w:val="页脚 字符"/>
    <w:basedOn w:val="a0"/>
    <w:link w:val="a6"/>
    <w:locked/>
    <w:rsid w:val="00125A5A"/>
    <w:rPr>
      <w:sz w:val="18"/>
      <w:szCs w:val="18"/>
      <w:lang w:eastAsia="en-US"/>
    </w:rPr>
  </w:style>
  <w:style w:type="character" w:styleId="a8">
    <w:name w:val="page number"/>
    <w:basedOn w:val="a0"/>
    <w:uiPriority w:val="99"/>
    <w:rsid w:val="00BE24C3"/>
  </w:style>
  <w:style w:type="character" w:styleId="a9">
    <w:name w:val="Strong"/>
    <w:basedOn w:val="a0"/>
    <w:uiPriority w:val="99"/>
    <w:qFormat/>
    <w:rsid w:val="003D6A16"/>
    <w:rPr>
      <w:b/>
      <w:bCs/>
    </w:rPr>
  </w:style>
  <w:style w:type="paragraph" w:customStyle="1" w:styleId="Default">
    <w:name w:val="Default"/>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aa">
    <w:name w:val="footnote reference"/>
    <w:basedOn w:val="a0"/>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ab">
    <w:name w:val="Balloon Text"/>
    <w:basedOn w:val="a"/>
    <w:link w:val="ac"/>
    <w:semiHidden/>
    <w:rsid w:val="00F243DD"/>
    <w:rPr>
      <w:sz w:val="18"/>
      <w:szCs w:val="18"/>
    </w:rPr>
  </w:style>
  <w:style w:type="character" w:customStyle="1" w:styleId="ac">
    <w:name w:val="批注框文本 字符"/>
    <w:basedOn w:val="a0"/>
    <w:link w:val="ab"/>
    <w:semiHidden/>
    <w:locked/>
    <w:rsid w:val="00D759C8"/>
    <w:rPr>
      <w:kern w:val="0"/>
      <w:sz w:val="2"/>
      <w:szCs w:val="2"/>
      <w:lang w:eastAsia="en-US"/>
    </w:rPr>
  </w:style>
  <w:style w:type="paragraph" w:customStyle="1" w:styleId="11">
    <w:name w:val="列出段落1"/>
    <w:basedOn w:val="a"/>
    <w:uiPriority w:val="99"/>
    <w:rsid w:val="009D49E1"/>
    <w:pPr>
      <w:spacing w:after="200" w:line="276" w:lineRule="auto"/>
      <w:ind w:left="720"/>
      <w:jc w:val="left"/>
    </w:pPr>
    <w:rPr>
      <w:rFonts w:ascii="Calibri" w:hAnsi="Calibri" w:cs="Calibri"/>
      <w:sz w:val="22"/>
      <w:szCs w:val="22"/>
      <w:lang w:val="tr-TR"/>
    </w:rPr>
  </w:style>
  <w:style w:type="paragraph" w:styleId="ad">
    <w:name w:val="caption"/>
    <w:basedOn w:val="a"/>
    <w:next w:val="a"/>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宋体" w:hAnsi="Verdana" w:cs="Verdana"/>
      <w:color w:val="auto"/>
      <w:lang w:val="tr-TR" w:eastAsia="en-US"/>
    </w:rPr>
  </w:style>
  <w:style w:type="table" w:styleId="ae">
    <w:name w:val="Table Grid"/>
    <w:basedOn w:val="a1"/>
    <w:uiPriority w:val="3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autoRedefine/>
    <w:uiPriority w:val="99"/>
    <w:rsid w:val="009550AF"/>
    <w:pPr>
      <w:spacing w:after="160" w:line="240" w:lineRule="exact"/>
      <w:jc w:val="left"/>
    </w:pPr>
    <w:rPr>
      <w:rFonts w:ascii="Verdana" w:eastAsia="仿宋_GB2312" w:hAnsi="Verdana" w:cs="Verdana"/>
      <w:sz w:val="24"/>
      <w:szCs w:val="24"/>
    </w:rPr>
  </w:style>
  <w:style w:type="paragraph" w:customStyle="1" w:styleId="tablecolsubhead">
    <w:name w:val="table col subhead"/>
    <w:basedOn w:val="a"/>
    <w:uiPriority w:val="99"/>
    <w:rsid w:val="00F03FB2"/>
    <w:pPr>
      <w:jc w:val="center"/>
    </w:pPr>
    <w:rPr>
      <w:b/>
      <w:bCs/>
      <w:i/>
      <w:iCs/>
      <w:sz w:val="15"/>
      <w:szCs w:val="15"/>
    </w:rPr>
  </w:style>
  <w:style w:type="paragraph" w:styleId="af">
    <w:name w:val="Body Text"/>
    <w:basedOn w:val="a"/>
    <w:link w:val="af0"/>
    <w:uiPriority w:val="99"/>
    <w:rsid w:val="00F03FB2"/>
    <w:pPr>
      <w:spacing w:after="120" w:line="228" w:lineRule="auto"/>
      <w:ind w:firstLine="288"/>
    </w:pPr>
    <w:rPr>
      <w:spacing w:val="-1"/>
    </w:rPr>
  </w:style>
  <w:style w:type="character" w:customStyle="1" w:styleId="af0">
    <w:name w:val="正文文本 字符"/>
    <w:basedOn w:val="a0"/>
    <w:link w:val="af"/>
    <w:uiPriority w:val="99"/>
    <w:locked/>
    <w:rsid w:val="00F03FB2"/>
    <w:rPr>
      <w:rFonts w:eastAsia="宋体"/>
      <w:lang w:val="en-US" w:eastAsia="en-US"/>
    </w:rPr>
  </w:style>
  <w:style w:type="paragraph" w:customStyle="1" w:styleId="tablecolhead">
    <w:name w:val="table col head"/>
    <w:basedOn w:val="a"/>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a"/>
    <w:link w:val="C-Title1Char"/>
    <w:uiPriority w:val="99"/>
    <w:rsid w:val="00F03FB2"/>
    <w:pPr>
      <w:autoSpaceDE w:val="0"/>
      <w:autoSpaceDN w:val="0"/>
      <w:adjustRightInd w:val="0"/>
      <w:snapToGrid w:val="0"/>
      <w:spacing w:beforeLines="100" w:afterLines="100" w:line="240" w:lineRule="exact"/>
      <w:ind w:left="420" w:hangingChars="210" w:hanging="210"/>
    </w:pPr>
    <w:rPr>
      <w:b/>
      <w:bCs/>
      <w:sz w:val="24"/>
      <w:szCs w:val="24"/>
    </w:rPr>
  </w:style>
  <w:style w:type="character" w:customStyle="1" w:styleId="C-Title1Char">
    <w:name w:val="C-Title 1 Char"/>
    <w:link w:val="C-Title1"/>
    <w:uiPriority w:val="99"/>
    <w:locked/>
    <w:rsid w:val="00F03FB2"/>
    <w:rPr>
      <w:b/>
      <w:bCs/>
      <w:sz w:val="24"/>
      <w:szCs w:val="24"/>
      <w:lang w:eastAsia="en-US"/>
    </w:rPr>
  </w:style>
  <w:style w:type="paragraph" w:customStyle="1" w:styleId="C-SubTitle2">
    <w:name w:val="C-SubTitle 2"/>
    <w:basedOn w:val="a"/>
    <w:link w:val="C-SubTitle2Char"/>
    <w:uiPriority w:val="99"/>
    <w:rsid w:val="00F03FB2"/>
    <w:pPr>
      <w:spacing w:beforeLines="100" w:afterLines="100" w:line="240" w:lineRule="exact"/>
      <w:ind w:left="5605" w:hangingChars="201" w:hanging="403"/>
    </w:pPr>
    <w:rPr>
      <w:b/>
      <w:bCs/>
      <w:sz w:val="22"/>
      <w:szCs w:val="22"/>
    </w:rPr>
  </w:style>
  <w:style w:type="character" w:customStyle="1" w:styleId="C-SubTitle2Char">
    <w:name w:val="C-SubTitle 2 Char"/>
    <w:link w:val="C-SubTitle2"/>
    <w:uiPriority w:val="99"/>
    <w:locked/>
    <w:rsid w:val="00F03FB2"/>
    <w:rPr>
      <w:b/>
      <w:bCs/>
      <w:sz w:val="22"/>
      <w:szCs w:val="22"/>
      <w:lang w:eastAsia="en-US"/>
    </w:rPr>
  </w:style>
  <w:style w:type="paragraph" w:customStyle="1" w:styleId="C-Table">
    <w:name w:val="C-Table"/>
    <w:basedOn w:val="a"/>
    <w:link w:val="C-TableChar"/>
    <w:uiPriority w:val="99"/>
    <w:rsid w:val="00F03FB2"/>
    <w:pPr>
      <w:spacing w:afterLines="50"/>
      <w:jc w:val="center"/>
    </w:pPr>
    <w:rPr>
      <w:b/>
      <w:bCs/>
      <w:noProof/>
      <w:sz w:val="18"/>
      <w:szCs w:val="18"/>
    </w:rPr>
  </w:style>
  <w:style w:type="character" w:customStyle="1" w:styleId="C-TableChar">
    <w:name w:val="C-Table Char"/>
    <w:link w:val="C-Table"/>
    <w:uiPriority w:val="99"/>
    <w:locked/>
    <w:rsid w:val="00F03FB2"/>
    <w:rPr>
      <w:rFonts w:eastAsia="宋体"/>
      <w:b/>
      <w:bCs/>
      <w:noProof/>
      <w:sz w:val="18"/>
      <w:szCs w:val="18"/>
      <w:lang w:eastAsia="en-US"/>
    </w:rPr>
  </w:style>
  <w:style w:type="paragraph" w:customStyle="1" w:styleId="C-Figure">
    <w:name w:val="C-Figure"/>
    <w:basedOn w:val="a"/>
    <w:link w:val="C-FigureChar"/>
    <w:uiPriority w:val="99"/>
    <w:rsid w:val="00F03FB2"/>
    <w:pPr>
      <w:jc w:val="center"/>
    </w:pPr>
    <w:rPr>
      <w:b/>
      <w:bCs/>
      <w:sz w:val="18"/>
      <w:szCs w:val="18"/>
    </w:rPr>
  </w:style>
  <w:style w:type="character" w:customStyle="1" w:styleId="C-FigureChar">
    <w:name w:val="C-Figure Char"/>
    <w:link w:val="C-Figure"/>
    <w:uiPriority w:val="99"/>
    <w:locked/>
    <w:rsid w:val="00F03FB2"/>
    <w:rPr>
      <w:rFonts w:eastAsia="宋体"/>
      <w:b/>
      <w:bCs/>
      <w:sz w:val="18"/>
      <w:szCs w:val="18"/>
      <w:lang w:eastAsia="en-US"/>
    </w:rPr>
  </w:style>
  <w:style w:type="paragraph" w:customStyle="1" w:styleId="C-SubTitle3">
    <w:name w:val="C-SubTitle3"/>
    <w:basedOn w:val="a"/>
    <w:uiPriority w:val="99"/>
    <w:rsid w:val="00F03FB2"/>
    <w:pPr>
      <w:spacing w:line="240" w:lineRule="exact"/>
      <w:ind w:left="720" w:hanging="720"/>
    </w:pPr>
    <w:rPr>
      <w:sz w:val="21"/>
      <w:szCs w:val="21"/>
    </w:rPr>
  </w:style>
  <w:style w:type="paragraph" w:customStyle="1" w:styleId="C-">
    <w:name w:val="C-正文"/>
    <w:basedOn w:val="a"/>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af1">
    <w:name w:val="Document Map"/>
    <w:basedOn w:val="a"/>
    <w:link w:val="af2"/>
    <w:uiPriority w:val="99"/>
    <w:semiHidden/>
    <w:rsid w:val="00125A5A"/>
    <w:pPr>
      <w:jc w:val="left"/>
    </w:pPr>
    <w:rPr>
      <w:rFonts w:ascii="Calibri" w:hAnsi="Tahoma" w:cs="Calibri"/>
      <w:sz w:val="16"/>
      <w:szCs w:val="16"/>
      <w:lang w:eastAsia="zh-CN"/>
    </w:rPr>
  </w:style>
  <w:style w:type="character" w:customStyle="1" w:styleId="af2">
    <w:name w:val="文档结构图 字符"/>
    <w:basedOn w:val="a0"/>
    <w:link w:val="af1"/>
    <w:uiPriority w:val="99"/>
    <w:locked/>
    <w:rsid w:val="00125A5A"/>
    <w:rPr>
      <w:rFonts w:ascii="Calibri" w:eastAsia="宋体" w:hAnsi="Tahoma" w:cs="Calibri"/>
      <w:sz w:val="16"/>
      <w:szCs w:val="16"/>
    </w:rPr>
  </w:style>
  <w:style w:type="paragraph" w:customStyle="1" w:styleId="Af3">
    <w:name w:val="A"/>
    <w:basedOn w:val="a"/>
    <w:qFormat/>
    <w:rsid w:val="001D6747"/>
    <w:pPr>
      <w:widowControl w:val="0"/>
      <w:suppressAutoHyphens/>
      <w:autoSpaceDE w:val="0"/>
      <w:autoSpaceDN w:val="0"/>
      <w:adjustRightInd w:val="0"/>
      <w:snapToGrid w:val="0"/>
      <w:spacing w:afterLines="150"/>
      <w:jc w:val="left"/>
    </w:pPr>
    <w:rPr>
      <w:rFonts w:ascii="Cambria" w:hAnsi="Cambria" w:cs="Cambria"/>
      <w:b/>
      <w:bCs/>
      <w:color w:val="BF1F3D"/>
      <w:sz w:val="36"/>
      <w:szCs w:val="44"/>
    </w:rPr>
  </w:style>
  <w:style w:type="paragraph" w:customStyle="1" w:styleId="AA0">
    <w:name w:val="AA"/>
    <w:basedOn w:val="11"/>
    <w:qFormat/>
    <w:rsid w:val="001D6747"/>
    <w:pPr>
      <w:widowControl w:val="0"/>
      <w:autoSpaceDE w:val="0"/>
      <w:autoSpaceDN w:val="0"/>
      <w:adjustRightInd w:val="0"/>
      <w:snapToGrid w:val="0"/>
      <w:spacing w:afterLines="50" w:line="240" w:lineRule="auto"/>
      <w:ind w:left="0"/>
    </w:pPr>
    <w:rPr>
      <w:rFonts w:ascii="Cambria" w:hAnsi="Cambria" w:cs="Cambria"/>
      <w:b/>
      <w:bCs/>
      <w:caps/>
      <w:color w:val="BF1F3D"/>
      <w:sz w:val="24"/>
      <w:szCs w:val="24"/>
    </w:rPr>
  </w:style>
  <w:style w:type="paragraph" w:customStyle="1" w:styleId="12">
    <w:name w:val="1"/>
    <w:basedOn w:val="a"/>
    <w:qFormat/>
    <w:rsid w:val="001D6747"/>
    <w:pPr>
      <w:autoSpaceDE w:val="0"/>
      <w:autoSpaceDN w:val="0"/>
      <w:adjustRightInd w:val="0"/>
      <w:snapToGrid w:val="0"/>
      <w:spacing w:beforeLines="100" w:afterLines="50"/>
    </w:pPr>
    <w:rPr>
      <w:rFonts w:ascii="Cambria" w:hAnsi="Cambria" w:cs="Tw Cen MT"/>
      <w:b/>
      <w:caps/>
      <w:color w:val="BF1F3D"/>
      <w:sz w:val="24"/>
      <w:szCs w:val="24"/>
      <w:lang w:eastAsia="zh-CN"/>
    </w:rPr>
  </w:style>
  <w:style w:type="paragraph" w:customStyle="1" w:styleId="21">
    <w:name w:val="2"/>
    <w:basedOn w:val="a"/>
    <w:qFormat/>
    <w:rsid w:val="001D6747"/>
    <w:pPr>
      <w:widowControl w:val="0"/>
      <w:adjustRightInd w:val="0"/>
      <w:snapToGrid w:val="0"/>
      <w:spacing w:beforeLines="100" w:afterLines="50"/>
    </w:pPr>
    <w:rPr>
      <w:rFonts w:ascii="Cambria" w:hAnsi="Cambria"/>
      <w:b/>
      <w:color w:val="BF1F3D"/>
      <w:sz w:val="22"/>
      <w:szCs w:val="22"/>
      <w:lang w:eastAsia="zh-CN"/>
    </w:rPr>
  </w:style>
  <w:style w:type="paragraph" w:customStyle="1" w:styleId="31">
    <w:name w:val="3"/>
    <w:basedOn w:val="a"/>
    <w:qFormat/>
    <w:rsid w:val="001D6747"/>
    <w:pPr>
      <w:widowControl w:val="0"/>
      <w:adjustRightInd w:val="0"/>
      <w:snapToGrid w:val="0"/>
      <w:spacing w:beforeLines="100"/>
    </w:pPr>
    <w:rPr>
      <w:rFonts w:ascii="Cambria" w:hAnsi="Cambria"/>
      <w:b/>
      <w:color w:val="BF1F3D"/>
      <w:sz w:val="22"/>
      <w:lang w:eastAsia="zh-CN"/>
    </w:rPr>
  </w:style>
  <w:style w:type="paragraph" w:styleId="af4">
    <w:name w:val="List Paragraph"/>
    <w:basedOn w:val="a"/>
    <w:uiPriority w:val="72"/>
    <w:qFormat/>
    <w:rsid w:val="00D64818"/>
    <w:pPr>
      <w:ind w:firstLineChars="200" w:firstLine="420"/>
    </w:pPr>
  </w:style>
  <w:style w:type="paragraph" w:styleId="af5">
    <w:name w:val="No Spacing"/>
    <w:link w:val="af6"/>
    <w:uiPriority w:val="1"/>
    <w:qFormat/>
    <w:rsid w:val="00D73D12"/>
    <w:rPr>
      <w:rFonts w:asciiTheme="minorHAnsi" w:eastAsiaTheme="minorEastAsia" w:hAnsiTheme="minorHAnsi" w:cstheme="minorBidi"/>
      <w:sz w:val="22"/>
      <w:szCs w:val="22"/>
    </w:rPr>
  </w:style>
  <w:style w:type="character" w:customStyle="1" w:styleId="af6">
    <w:name w:val="无间隔 字符"/>
    <w:basedOn w:val="a0"/>
    <w:link w:val="af5"/>
    <w:uiPriority w:val="1"/>
    <w:rsid w:val="00D73D12"/>
    <w:rPr>
      <w:rFonts w:asciiTheme="minorHAnsi" w:eastAsiaTheme="minorEastAsia" w:hAnsiTheme="minorHAnsi" w:cstheme="minorBidi"/>
      <w:sz w:val="22"/>
      <w:szCs w:val="22"/>
    </w:rPr>
  </w:style>
  <w:style w:type="table" w:styleId="2-2">
    <w:name w:val="Medium Shading 2 Accent 2"/>
    <w:basedOn w:val="a1"/>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7">
    <w:name w:val="FollowedHyperlink"/>
    <w:basedOn w:val="a0"/>
    <w:unhideWhenUsed/>
    <w:rsid w:val="00F45FC9"/>
    <w:rPr>
      <w:color w:val="800080" w:themeColor="followedHyperlink"/>
      <w:u w:val="single"/>
    </w:rPr>
  </w:style>
  <w:style w:type="paragraph" w:customStyle="1" w:styleId="Para">
    <w:name w:val="Para"/>
    <w:link w:val="ParaChar"/>
    <w:rsid w:val="00717DEB"/>
    <w:pPr>
      <w:spacing w:line="220" w:lineRule="exact"/>
      <w:ind w:firstLine="170"/>
      <w:jc w:val="both"/>
    </w:pPr>
    <w:rPr>
      <w:sz w:val="18"/>
      <w:lang w:eastAsia="en-US"/>
    </w:rPr>
  </w:style>
  <w:style w:type="character" w:customStyle="1" w:styleId="ParaChar">
    <w:name w:val="Para Char"/>
    <w:link w:val="Para"/>
    <w:rsid w:val="00717DEB"/>
    <w:rPr>
      <w:sz w:val="18"/>
      <w:lang w:eastAsia="en-US"/>
    </w:rPr>
  </w:style>
  <w:style w:type="paragraph" w:customStyle="1" w:styleId="ParaNoInd">
    <w:name w:val="ParaNoInd"/>
    <w:basedOn w:val="Para"/>
    <w:link w:val="ParaNoIndChar"/>
    <w:rsid w:val="00717DEB"/>
    <w:pPr>
      <w:ind w:firstLine="0"/>
    </w:pPr>
  </w:style>
  <w:style w:type="character" w:customStyle="1" w:styleId="ParaNoIndChar">
    <w:name w:val="ParaNoInd Char"/>
    <w:link w:val="ParaNoInd"/>
    <w:rsid w:val="00717DEB"/>
    <w:rPr>
      <w:sz w:val="18"/>
      <w:lang w:eastAsia="en-US"/>
    </w:rPr>
  </w:style>
  <w:style w:type="paragraph" w:styleId="af8">
    <w:name w:val="Body Text Indent"/>
    <w:basedOn w:val="a"/>
    <w:link w:val="af9"/>
    <w:rsid w:val="002E7D29"/>
    <w:pPr>
      <w:spacing w:line="480" w:lineRule="auto"/>
      <w:ind w:left="720"/>
      <w:jc w:val="left"/>
    </w:pPr>
    <w:rPr>
      <w:sz w:val="24"/>
      <w:szCs w:val="24"/>
      <w:lang w:val="en-GB"/>
    </w:rPr>
  </w:style>
  <w:style w:type="character" w:customStyle="1" w:styleId="af9">
    <w:name w:val="正文文本缩进 字符"/>
    <w:basedOn w:val="a0"/>
    <w:link w:val="af8"/>
    <w:rsid w:val="002E7D29"/>
    <w:rPr>
      <w:sz w:val="24"/>
      <w:szCs w:val="24"/>
      <w:lang w:val="en-GB" w:eastAsia="en-US"/>
    </w:rPr>
  </w:style>
  <w:style w:type="character" w:customStyle="1" w:styleId="entity1">
    <w:name w:val="entity1"/>
    <w:rsid w:val="002E7D29"/>
    <w:rPr>
      <w:rFonts w:ascii="Times New Roman" w:hAnsi="Times New Roman" w:cs="Times New Roman" w:hint="default"/>
    </w:rPr>
  </w:style>
  <w:style w:type="paragraph" w:customStyle="1" w:styleId="justify">
    <w:name w:val="justify"/>
    <w:basedOn w:val="a"/>
    <w:rsid w:val="002E7D29"/>
    <w:pPr>
      <w:spacing w:before="100" w:beforeAutospacing="1" w:after="100" w:afterAutospacing="1" w:line="480" w:lineRule="auto"/>
    </w:pPr>
    <w:rPr>
      <w:rFonts w:ascii="Verdana" w:eastAsia="Arial Unicode MS" w:hAnsi="Verdana" w:cs="Arial Unicode MS"/>
      <w:lang w:val="en-GB"/>
    </w:rPr>
  </w:style>
  <w:style w:type="paragraph" w:styleId="afa">
    <w:name w:val="Normal (Web)"/>
    <w:basedOn w:val="a"/>
    <w:uiPriority w:val="99"/>
    <w:rsid w:val="002E7D29"/>
    <w:pPr>
      <w:spacing w:before="100" w:beforeAutospacing="1" w:after="100" w:afterAutospacing="1" w:line="480" w:lineRule="auto"/>
      <w:jc w:val="left"/>
    </w:pPr>
    <w:rPr>
      <w:rFonts w:ascii="Arial Unicode MS" w:eastAsia="Arial Unicode MS" w:hAnsi="Arial Unicode MS" w:cs="Arial Unicode MS"/>
      <w:sz w:val="24"/>
      <w:szCs w:val="24"/>
      <w:lang w:val="en-GB"/>
    </w:rPr>
  </w:style>
  <w:style w:type="character" w:customStyle="1" w:styleId="smallhead">
    <w:name w:val="smallhead"/>
    <w:rsid w:val="002E7D29"/>
  </w:style>
  <w:style w:type="paragraph" w:customStyle="1" w:styleId="reference">
    <w:name w:val="reference"/>
    <w:basedOn w:val="a"/>
    <w:rsid w:val="002E7D29"/>
    <w:pPr>
      <w:ind w:left="227" w:hanging="227"/>
    </w:pPr>
    <w:rPr>
      <w:rFonts w:ascii="Times" w:hAnsi="Times"/>
      <w:sz w:val="18"/>
      <w:lang w:eastAsia="de-DE"/>
    </w:rPr>
  </w:style>
  <w:style w:type="paragraph" w:customStyle="1" w:styleId="Tablebody">
    <w:name w:val="Table body"/>
    <w:rsid w:val="002E7D29"/>
    <w:pPr>
      <w:spacing w:line="200" w:lineRule="exact"/>
      <w:ind w:left="160" w:hanging="160"/>
    </w:pPr>
    <w:rPr>
      <w:sz w:val="16"/>
      <w:lang w:eastAsia="en-US"/>
    </w:rPr>
  </w:style>
  <w:style w:type="paragraph" w:customStyle="1" w:styleId="Tablebodyfirst">
    <w:name w:val="Table body first"/>
    <w:basedOn w:val="Tablebody"/>
    <w:rsid w:val="002E7D29"/>
  </w:style>
  <w:style w:type="paragraph" w:customStyle="1" w:styleId="Tablefootnote">
    <w:name w:val="Table footnote"/>
    <w:rsid w:val="002E7D29"/>
    <w:pPr>
      <w:spacing w:before="80" w:line="180" w:lineRule="exact"/>
      <w:jc w:val="both"/>
    </w:pPr>
    <w:rPr>
      <w:sz w:val="14"/>
      <w:lang w:eastAsia="en-US"/>
    </w:rPr>
  </w:style>
  <w:style w:type="paragraph" w:customStyle="1" w:styleId="equation">
    <w:name w:val="equation"/>
    <w:basedOn w:val="a"/>
    <w:next w:val="a"/>
    <w:rsid w:val="002E7D29"/>
    <w:pPr>
      <w:tabs>
        <w:tab w:val="left" w:pos="6237"/>
      </w:tabs>
      <w:spacing w:before="120" w:after="120"/>
      <w:ind w:left="227" w:firstLine="227"/>
      <w:jc w:val="center"/>
    </w:pPr>
    <w:rPr>
      <w:rFonts w:ascii="Times" w:hAnsi="Times"/>
      <w:lang w:eastAsia="de-DE"/>
    </w:rPr>
  </w:style>
  <w:style w:type="character" w:customStyle="1" w:styleId="afb">
    <w:name w:val="批注文字 字符"/>
    <w:basedOn w:val="a0"/>
    <w:link w:val="afc"/>
    <w:uiPriority w:val="99"/>
    <w:semiHidden/>
    <w:rsid w:val="002E7D29"/>
    <w:rPr>
      <w:sz w:val="24"/>
      <w:szCs w:val="24"/>
      <w:lang w:val="en-GB" w:eastAsia="en-US"/>
    </w:rPr>
  </w:style>
  <w:style w:type="paragraph" w:styleId="afc">
    <w:name w:val="annotation text"/>
    <w:basedOn w:val="a"/>
    <w:link w:val="afb"/>
    <w:uiPriority w:val="99"/>
    <w:semiHidden/>
    <w:rsid w:val="002E7D29"/>
    <w:pPr>
      <w:spacing w:line="480" w:lineRule="auto"/>
      <w:jc w:val="left"/>
    </w:pPr>
    <w:rPr>
      <w:sz w:val="24"/>
      <w:szCs w:val="24"/>
      <w:lang w:val="en-GB"/>
    </w:rPr>
  </w:style>
  <w:style w:type="character" w:customStyle="1" w:styleId="afd">
    <w:name w:val="批注主题 字符"/>
    <w:basedOn w:val="afb"/>
    <w:link w:val="afe"/>
    <w:semiHidden/>
    <w:rsid w:val="002E7D29"/>
    <w:rPr>
      <w:b/>
      <w:bCs/>
      <w:sz w:val="24"/>
      <w:szCs w:val="24"/>
      <w:lang w:val="en-GB" w:eastAsia="en-US"/>
    </w:rPr>
  </w:style>
  <w:style w:type="paragraph" w:styleId="afe">
    <w:name w:val="annotation subject"/>
    <w:basedOn w:val="afc"/>
    <w:next w:val="afc"/>
    <w:link w:val="afd"/>
    <w:semiHidden/>
    <w:rsid w:val="002E7D29"/>
    <w:rPr>
      <w:b/>
      <w:bCs/>
    </w:rPr>
  </w:style>
  <w:style w:type="paragraph" w:customStyle="1" w:styleId="p1a">
    <w:name w:val="p1a"/>
    <w:basedOn w:val="a"/>
    <w:next w:val="a"/>
    <w:link w:val="p1aZchn"/>
    <w:rsid w:val="002E7D29"/>
    <w:rPr>
      <w:rFonts w:ascii="Times" w:hAnsi="Times"/>
      <w:lang w:eastAsia="de-DE"/>
    </w:rPr>
  </w:style>
  <w:style w:type="character" w:customStyle="1" w:styleId="p1aZchn">
    <w:name w:val="p1a Zchn"/>
    <w:link w:val="p1a"/>
    <w:rsid w:val="002E7D29"/>
    <w:rPr>
      <w:rFonts w:ascii="Times" w:hAnsi="Times"/>
      <w:lang w:eastAsia="de-DE"/>
    </w:rPr>
  </w:style>
  <w:style w:type="paragraph" w:customStyle="1" w:styleId="aff">
    <w:name w:val="正文 + 两端对齐"/>
    <w:basedOn w:val="1"/>
    <w:rsid w:val="002E7D29"/>
    <w:pPr>
      <w:keepLines w:val="0"/>
      <w:spacing w:before="240" w:after="60" w:line="480" w:lineRule="auto"/>
    </w:pPr>
    <w:rPr>
      <w:b w:val="0"/>
      <w:bCs w:val="0"/>
      <w:kern w:val="32"/>
      <w:sz w:val="24"/>
      <w:szCs w:val="20"/>
    </w:rPr>
  </w:style>
  <w:style w:type="character" w:customStyle="1" w:styleId="headline-content2">
    <w:name w:val="headline-content2"/>
    <w:rsid w:val="002E7D29"/>
  </w:style>
  <w:style w:type="paragraph" w:customStyle="1" w:styleId="EndNoteBibliographyTitle">
    <w:name w:val="EndNote Bibliography Title"/>
    <w:basedOn w:val="a"/>
    <w:link w:val="EndNoteBibliographyTitleChar"/>
    <w:rsid w:val="002E7D29"/>
    <w:pPr>
      <w:spacing w:line="480" w:lineRule="auto"/>
      <w:jc w:val="center"/>
    </w:pPr>
    <w:rPr>
      <w:noProof/>
      <w:sz w:val="24"/>
      <w:szCs w:val="24"/>
    </w:rPr>
  </w:style>
  <w:style w:type="character" w:customStyle="1" w:styleId="EndNoteBibliographyTitleChar">
    <w:name w:val="EndNote Bibliography Title Char"/>
    <w:link w:val="EndNoteBibliographyTitle"/>
    <w:rsid w:val="002E7D29"/>
    <w:rPr>
      <w:noProof/>
      <w:sz w:val="24"/>
      <w:szCs w:val="24"/>
      <w:lang w:eastAsia="en-US"/>
    </w:rPr>
  </w:style>
  <w:style w:type="paragraph" w:customStyle="1" w:styleId="EndNoteBibliography">
    <w:name w:val="EndNote Bibliography"/>
    <w:basedOn w:val="a"/>
    <w:link w:val="EndNoteBibliographyChar"/>
    <w:rsid w:val="002E7D29"/>
    <w:pPr>
      <w:jc w:val="left"/>
    </w:pPr>
    <w:rPr>
      <w:noProof/>
      <w:sz w:val="24"/>
      <w:szCs w:val="24"/>
    </w:rPr>
  </w:style>
  <w:style w:type="character" w:customStyle="1" w:styleId="EndNoteBibliographyChar">
    <w:name w:val="EndNote Bibliography Char"/>
    <w:link w:val="EndNoteBibliography"/>
    <w:rsid w:val="002E7D29"/>
    <w:rPr>
      <w:noProof/>
      <w:sz w:val="24"/>
      <w:szCs w:val="24"/>
      <w:lang w:eastAsia="en-US"/>
    </w:rPr>
  </w:style>
  <w:style w:type="paragraph" w:customStyle="1" w:styleId="AbstractText">
    <w:name w:val="Abstract Text"/>
    <w:rsid w:val="002E7D29"/>
    <w:pPr>
      <w:spacing w:line="220" w:lineRule="exact"/>
      <w:jc w:val="both"/>
    </w:pPr>
    <w:rPr>
      <w:rFonts w:ascii="Helvetica" w:hAnsi="Helvetica"/>
      <w:sz w:val="16"/>
      <w:lang w:eastAsia="en-US"/>
    </w:rPr>
  </w:style>
  <w:style w:type="paragraph" w:customStyle="1" w:styleId="UnnumberedListfirst">
    <w:name w:val="Unnumbered List first"/>
    <w:basedOn w:val="a"/>
    <w:rsid w:val="002E7D29"/>
    <w:pPr>
      <w:spacing w:before="120" w:line="220" w:lineRule="exact"/>
      <w:ind w:left="400" w:hanging="400"/>
    </w:pPr>
    <w:rPr>
      <w:sz w:val="18"/>
    </w:rPr>
  </w:style>
  <w:style w:type="paragraph" w:customStyle="1" w:styleId="ParaNoInd0">
    <w:name w:val="&lt;ParaNoInd&gt;"/>
    <w:basedOn w:val="ParaNoInd"/>
    <w:rsid w:val="002E7D29"/>
    <w:pPr>
      <w:spacing w:line="200" w:lineRule="exact"/>
    </w:pPr>
    <w:rPr>
      <w:sz w:val="16"/>
    </w:rPr>
  </w:style>
  <w:style w:type="paragraph" w:customStyle="1" w:styleId="Para0">
    <w:name w:val="&lt;Para&gt;"/>
    <w:basedOn w:val="Para"/>
    <w:rsid w:val="002E7D29"/>
    <w:pPr>
      <w:spacing w:line="200" w:lineRule="exact"/>
    </w:pPr>
    <w:rPr>
      <w:sz w:val="16"/>
    </w:rPr>
  </w:style>
  <w:style w:type="paragraph" w:customStyle="1" w:styleId="FigureCaption">
    <w:name w:val="Figure Caption"/>
    <w:rsid w:val="002E7D29"/>
    <w:pPr>
      <w:spacing w:before="290" w:after="240" w:line="200" w:lineRule="exact"/>
      <w:jc w:val="both"/>
    </w:pPr>
    <w:rPr>
      <w:sz w:val="16"/>
      <w:lang w:eastAsia="en-US"/>
    </w:rPr>
  </w:style>
  <w:style w:type="paragraph" w:customStyle="1" w:styleId="Tablebodylast">
    <w:name w:val="Table body last"/>
    <w:basedOn w:val="Tablebody"/>
    <w:rsid w:val="002E7D29"/>
    <w:pPr>
      <w:spacing w:after="134"/>
    </w:pPr>
  </w:style>
  <w:style w:type="character" w:styleId="aff0">
    <w:name w:val="Unresolved Mention"/>
    <w:basedOn w:val="a0"/>
    <w:uiPriority w:val="99"/>
    <w:semiHidden/>
    <w:unhideWhenUsed/>
    <w:rsid w:val="00F51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2462">
      <w:bodyDiv w:val="1"/>
      <w:marLeft w:val="0"/>
      <w:marRight w:val="0"/>
      <w:marTop w:val="0"/>
      <w:marBottom w:val="0"/>
      <w:divBdr>
        <w:top w:val="none" w:sz="0" w:space="0" w:color="auto"/>
        <w:left w:val="none" w:sz="0" w:space="0" w:color="auto"/>
        <w:bottom w:val="none" w:sz="0" w:space="0" w:color="auto"/>
        <w:right w:val="none" w:sz="0" w:space="0" w:color="auto"/>
      </w:divBdr>
    </w:div>
    <w:div w:id="428890316">
      <w:bodyDiv w:val="1"/>
      <w:marLeft w:val="0"/>
      <w:marRight w:val="0"/>
      <w:marTop w:val="0"/>
      <w:marBottom w:val="0"/>
      <w:divBdr>
        <w:top w:val="none" w:sz="0" w:space="0" w:color="auto"/>
        <w:left w:val="none" w:sz="0" w:space="0" w:color="auto"/>
        <w:bottom w:val="none" w:sz="0" w:space="0" w:color="auto"/>
        <w:right w:val="none" w:sz="0" w:space="0" w:color="auto"/>
      </w:divBdr>
    </w:div>
    <w:div w:id="773093412">
      <w:bodyDiv w:val="1"/>
      <w:marLeft w:val="0"/>
      <w:marRight w:val="0"/>
      <w:marTop w:val="0"/>
      <w:marBottom w:val="0"/>
      <w:divBdr>
        <w:top w:val="none" w:sz="0" w:space="0" w:color="auto"/>
        <w:left w:val="none" w:sz="0" w:space="0" w:color="auto"/>
        <w:bottom w:val="none" w:sz="0" w:space="0" w:color="auto"/>
        <w:right w:val="none" w:sz="0" w:space="0" w:color="auto"/>
      </w:divBdr>
    </w:div>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364">
      <w:bodyDiv w:val="1"/>
      <w:marLeft w:val="0"/>
      <w:marRight w:val="0"/>
      <w:marTop w:val="0"/>
      <w:marBottom w:val="0"/>
      <w:divBdr>
        <w:top w:val="none" w:sz="0" w:space="0" w:color="auto"/>
        <w:left w:val="none" w:sz="0" w:space="0" w:color="auto"/>
        <w:bottom w:val="none" w:sz="0" w:space="0" w:color="auto"/>
        <w:right w:val="none" w:sz="0" w:space="0" w:color="auto"/>
      </w:divBdr>
    </w:div>
    <w:div w:id="1289362830">
      <w:marLeft w:val="0"/>
      <w:marRight w:val="0"/>
      <w:marTop w:val="0"/>
      <w:marBottom w:val="0"/>
      <w:divBdr>
        <w:top w:val="none" w:sz="0" w:space="0" w:color="auto"/>
        <w:left w:val="none" w:sz="0" w:space="0" w:color="auto"/>
        <w:bottom w:val="none" w:sz="0" w:space="0" w:color="auto"/>
        <w:right w:val="none" w:sz="0" w:space="0" w:color="auto"/>
      </w:divBdr>
    </w:div>
    <w:div w:id="12897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dcr.rpi.edu/commdesign/class1.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dx.doi.org/10.1109/9.40223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1080/02841850112734684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crossref.org/simpleTextQuery" TargetMode="External"/><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reativecommons.org/licenses/by/4.0/" TargetMode="External"/><Relationship Id="rId14" Type="http://schemas.openxmlformats.org/officeDocument/2006/relationships/oleObject" Target="embeddings/oleObject2.bin"/><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scirp.org/journal/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http://www.scirp.org/journal/ns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F9DF7E-FDFF-4826-8F5E-EFBC85C1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2214</Words>
  <Characters>12621</Characters>
  <Application>Microsoft Office Word</Application>
  <DocSecurity>0</DocSecurity>
  <Lines>105</Lines>
  <Paragraphs>29</Paragraphs>
  <ScaleCrop>false</ScaleCrop>
  <Company/>
  <LinksUpToDate>false</LinksUpToDate>
  <CharactersWithSpaces>14806</CharactersWithSpaces>
  <SharedDoc>false</SharedDoc>
  <HLinks>
    <vt:vector size="1374" baseType="variant">
      <vt:variant>
        <vt:i4>65596</vt:i4>
      </vt:variant>
      <vt:variant>
        <vt:i4>672</vt:i4>
      </vt:variant>
      <vt:variant>
        <vt:i4>0</vt:i4>
      </vt:variant>
      <vt:variant>
        <vt:i4>5</vt:i4>
      </vt:variant>
      <vt:variant>
        <vt:lpwstr>mailto:ns@scirp.org</vt:lpwstr>
      </vt:variant>
      <vt:variant>
        <vt:lpwstr/>
      </vt:variant>
      <vt:variant>
        <vt:i4>5701642</vt:i4>
      </vt:variant>
      <vt:variant>
        <vt:i4>669</vt:i4>
      </vt:variant>
      <vt:variant>
        <vt:i4>0</vt:i4>
      </vt:variant>
      <vt:variant>
        <vt:i4>5</vt:i4>
      </vt:variant>
      <vt:variant>
        <vt:lpwstr>http://papersubmission.scirp.org/</vt:lpwstr>
      </vt:variant>
      <vt:variant>
        <vt:lpwstr/>
      </vt:variant>
      <vt:variant>
        <vt:i4>2424889</vt:i4>
      </vt:variant>
      <vt:variant>
        <vt:i4>666</vt:i4>
      </vt:variant>
      <vt:variant>
        <vt:i4>0</vt:i4>
      </vt:variant>
      <vt:variant>
        <vt:i4>5</vt:i4>
      </vt:variant>
      <vt:variant>
        <vt:lpwstr>https://doi.org/10.1023/A:1007091128394</vt:lpwstr>
      </vt:variant>
      <vt:variant>
        <vt:lpwstr/>
      </vt:variant>
      <vt:variant>
        <vt:i4>2621538</vt:i4>
      </vt:variant>
      <vt:variant>
        <vt:i4>663</vt:i4>
      </vt:variant>
      <vt:variant>
        <vt:i4>0</vt:i4>
      </vt:variant>
      <vt:variant>
        <vt:i4>5</vt:i4>
      </vt:variant>
      <vt:variant>
        <vt:lpwstr>https://doi.org/10.1002/ajpa.20250</vt:lpwstr>
      </vt:variant>
      <vt:variant>
        <vt:lpwstr/>
      </vt:variant>
      <vt:variant>
        <vt:i4>5242957</vt:i4>
      </vt:variant>
      <vt:variant>
        <vt:i4>660</vt:i4>
      </vt:variant>
      <vt:variant>
        <vt:i4>0</vt:i4>
      </vt:variant>
      <vt:variant>
        <vt:i4>5</vt:i4>
      </vt:variant>
      <vt:variant>
        <vt:lpwstr>https://doi.org/10.1002/bip.360270308</vt:lpwstr>
      </vt:variant>
      <vt:variant>
        <vt:lpwstr/>
      </vt:variant>
      <vt:variant>
        <vt:i4>3670115</vt:i4>
      </vt:variant>
      <vt:variant>
        <vt:i4>657</vt:i4>
      </vt:variant>
      <vt:variant>
        <vt:i4>0</vt:i4>
      </vt:variant>
      <vt:variant>
        <vt:i4>5</vt:i4>
      </vt:variant>
      <vt:variant>
        <vt:lpwstr>https://doi.org/10.1093/nar/gkq007</vt:lpwstr>
      </vt:variant>
      <vt:variant>
        <vt:lpwstr/>
      </vt:variant>
      <vt:variant>
        <vt:i4>3211370</vt:i4>
      </vt:variant>
      <vt:variant>
        <vt:i4>654</vt:i4>
      </vt:variant>
      <vt:variant>
        <vt:i4>0</vt:i4>
      </vt:variant>
      <vt:variant>
        <vt:i4>5</vt:i4>
      </vt:variant>
      <vt:variant>
        <vt:lpwstr>https://doi.org/10.1016/j.ygeno.2015.12.005</vt:lpwstr>
      </vt:variant>
      <vt:variant>
        <vt:lpwstr/>
      </vt:variant>
      <vt:variant>
        <vt:i4>2293877</vt:i4>
      </vt:variant>
      <vt:variant>
        <vt:i4>651</vt:i4>
      </vt:variant>
      <vt:variant>
        <vt:i4>0</vt:i4>
      </vt:variant>
      <vt:variant>
        <vt:i4>5</vt:i4>
      </vt:variant>
      <vt:variant>
        <vt:lpwstr>https://doi.org/10.1016/j.jprot.2011.12.003</vt:lpwstr>
      </vt:variant>
      <vt:variant>
        <vt:lpwstr/>
      </vt:variant>
      <vt:variant>
        <vt:i4>4456529</vt:i4>
      </vt:variant>
      <vt:variant>
        <vt:i4>648</vt:i4>
      </vt:variant>
      <vt:variant>
        <vt:i4>0</vt:i4>
      </vt:variant>
      <vt:variant>
        <vt:i4>5</vt:i4>
      </vt:variant>
      <vt:variant>
        <vt:lpwstr>https://doi.org/10.1016/j.biochi.2011.12.024</vt:lpwstr>
      </vt:variant>
      <vt:variant>
        <vt:lpwstr/>
      </vt:variant>
      <vt:variant>
        <vt:i4>4587586</vt:i4>
      </vt:variant>
      <vt:variant>
        <vt:i4>645</vt:i4>
      </vt:variant>
      <vt:variant>
        <vt:i4>0</vt:i4>
      </vt:variant>
      <vt:variant>
        <vt:i4>5</vt:i4>
      </vt:variant>
      <vt:variant>
        <vt:lpwstr>https://doi.org/10.1371/journal.pone.0010972</vt:lpwstr>
      </vt:variant>
      <vt:variant>
        <vt:lpwstr/>
      </vt:variant>
      <vt:variant>
        <vt:i4>4915273</vt:i4>
      </vt:variant>
      <vt:variant>
        <vt:i4>642</vt:i4>
      </vt:variant>
      <vt:variant>
        <vt:i4>0</vt:i4>
      </vt:variant>
      <vt:variant>
        <vt:i4>5</vt:i4>
      </vt:variant>
      <vt:variant>
        <vt:lpwstr>https://doi.org/10.1371/journal.pone.0025297</vt:lpwstr>
      </vt:variant>
      <vt:variant>
        <vt:lpwstr/>
      </vt:variant>
      <vt:variant>
        <vt:i4>5111876</vt:i4>
      </vt:variant>
      <vt:variant>
        <vt:i4>639</vt:i4>
      </vt:variant>
      <vt:variant>
        <vt:i4>0</vt:i4>
      </vt:variant>
      <vt:variant>
        <vt:i4>5</vt:i4>
      </vt:variant>
      <vt:variant>
        <vt:lpwstr>https://doi.org/10.1371/journal.pone.0014556</vt:lpwstr>
      </vt:variant>
      <vt:variant>
        <vt:lpwstr/>
      </vt:variant>
      <vt:variant>
        <vt:i4>4784204</vt:i4>
      </vt:variant>
      <vt:variant>
        <vt:i4>636</vt:i4>
      </vt:variant>
      <vt:variant>
        <vt:i4>0</vt:i4>
      </vt:variant>
      <vt:variant>
        <vt:i4>5</vt:i4>
      </vt:variant>
      <vt:variant>
        <vt:lpwstr>https://doi.org/10.1371/journal.pone.0009603</vt:lpwstr>
      </vt:variant>
      <vt:variant>
        <vt:lpwstr/>
      </vt:variant>
      <vt:variant>
        <vt:i4>4390982</vt:i4>
      </vt:variant>
      <vt:variant>
        <vt:i4>633</vt:i4>
      </vt:variant>
      <vt:variant>
        <vt:i4>0</vt:i4>
      </vt:variant>
      <vt:variant>
        <vt:i4>5</vt:i4>
      </vt:variant>
      <vt:variant>
        <vt:lpwstr>https://doi.org/10.1371/journal.pone.0047843</vt:lpwstr>
      </vt:variant>
      <vt:variant>
        <vt:lpwstr/>
      </vt:variant>
      <vt:variant>
        <vt:i4>1835095</vt:i4>
      </vt:variant>
      <vt:variant>
        <vt:i4>630</vt:i4>
      </vt:variant>
      <vt:variant>
        <vt:i4>0</vt:i4>
      </vt:variant>
      <vt:variant>
        <vt:i4>5</vt:i4>
      </vt:variant>
      <vt:variant>
        <vt:lpwstr>https://doi.org/10.2174/15680266113139990113</vt:lpwstr>
      </vt:variant>
      <vt:variant>
        <vt:lpwstr/>
      </vt:variant>
      <vt:variant>
        <vt:i4>4915275</vt:i4>
      </vt:variant>
      <vt:variant>
        <vt:i4>627</vt:i4>
      </vt:variant>
      <vt:variant>
        <vt:i4>0</vt:i4>
      </vt:variant>
      <vt:variant>
        <vt:i4>5</vt:i4>
      </vt:variant>
      <vt:variant>
        <vt:lpwstr>https://doi.org/10.1371/journal.pone.0106691</vt:lpwstr>
      </vt:variant>
      <vt:variant>
        <vt:lpwstr/>
      </vt:variant>
      <vt:variant>
        <vt:i4>3604601</vt:i4>
      </vt:variant>
      <vt:variant>
        <vt:i4>624</vt:i4>
      </vt:variant>
      <vt:variant>
        <vt:i4>0</vt:i4>
      </vt:variant>
      <vt:variant>
        <vt:i4>5</vt:i4>
      </vt:variant>
      <vt:variant>
        <vt:lpwstr>https://doi.org/10.1093/nar/gkn159</vt:lpwstr>
      </vt:variant>
      <vt:variant>
        <vt:lpwstr/>
      </vt:variant>
      <vt:variant>
        <vt:i4>5701697</vt:i4>
      </vt:variant>
      <vt:variant>
        <vt:i4>621</vt:i4>
      </vt:variant>
      <vt:variant>
        <vt:i4>0</vt:i4>
      </vt:variant>
      <vt:variant>
        <vt:i4>5</vt:i4>
      </vt:variant>
      <vt:variant>
        <vt:lpwstr>https://doi.org/10.1093/bioinformatics/btp500</vt:lpwstr>
      </vt:variant>
      <vt:variant>
        <vt:lpwstr/>
      </vt:variant>
      <vt:variant>
        <vt:i4>3866751</vt:i4>
      </vt:variant>
      <vt:variant>
        <vt:i4>618</vt:i4>
      </vt:variant>
      <vt:variant>
        <vt:i4>0</vt:i4>
      </vt:variant>
      <vt:variant>
        <vt:i4>5</vt:i4>
      </vt:variant>
      <vt:variant>
        <vt:lpwstr>https://doi.org/10.1093/bib/bbs075</vt:lpwstr>
      </vt:variant>
      <vt:variant>
        <vt:lpwstr/>
      </vt:variant>
      <vt:variant>
        <vt:i4>5046336</vt:i4>
      </vt:variant>
      <vt:variant>
        <vt:i4>615</vt:i4>
      </vt:variant>
      <vt:variant>
        <vt:i4>0</vt:i4>
      </vt:variant>
      <vt:variant>
        <vt:i4>5</vt:i4>
      </vt:variant>
      <vt:variant>
        <vt:lpwstr>https://doi.org/10.1371/journal.pone.0046633</vt:lpwstr>
      </vt:variant>
      <vt:variant>
        <vt:lpwstr/>
      </vt:variant>
      <vt:variant>
        <vt:i4>2949246</vt:i4>
      </vt:variant>
      <vt:variant>
        <vt:i4>612</vt:i4>
      </vt:variant>
      <vt:variant>
        <vt:i4>0</vt:i4>
      </vt:variant>
      <vt:variant>
        <vt:i4>5</vt:i4>
      </vt:variant>
      <vt:variant>
        <vt:lpwstr>https://doi.org/10.1186/1471-2105-9-510</vt:lpwstr>
      </vt:variant>
      <vt:variant>
        <vt:lpwstr/>
      </vt:variant>
      <vt:variant>
        <vt:i4>5374018</vt:i4>
      </vt:variant>
      <vt:variant>
        <vt:i4>609</vt:i4>
      </vt:variant>
      <vt:variant>
        <vt:i4>0</vt:i4>
      </vt:variant>
      <vt:variant>
        <vt:i4>5</vt:i4>
      </vt:variant>
      <vt:variant>
        <vt:lpwstr>https://doi.org/10.1093/bioinformatics/btu602</vt:lpwstr>
      </vt:variant>
      <vt:variant>
        <vt:lpwstr/>
      </vt:variant>
      <vt:variant>
        <vt:i4>4849733</vt:i4>
      </vt:variant>
      <vt:variant>
        <vt:i4>606</vt:i4>
      </vt:variant>
      <vt:variant>
        <vt:i4>0</vt:i4>
      </vt:variant>
      <vt:variant>
        <vt:i4>5</vt:i4>
      </vt:variant>
      <vt:variant>
        <vt:lpwstr>https://doi.org/10.1371/journal.pone.0121501</vt:lpwstr>
      </vt:variant>
      <vt:variant>
        <vt:lpwstr/>
      </vt:variant>
      <vt:variant>
        <vt:i4>2949239</vt:i4>
      </vt:variant>
      <vt:variant>
        <vt:i4>603</vt:i4>
      </vt:variant>
      <vt:variant>
        <vt:i4>0</vt:i4>
      </vt:variant>
      <vt:variant>
        <vt:i4>5</vt:i4>
      </vt:variant>
      <vt:variant>
        <vt:lpwstr>https://doi.org/10.1186/1471-2105-6-310</vt:lpwstr>
      </vt:variant>
      <vt:variant>
        <vt:lpwstr/>
      </vt:variant>
      <vt:variant>
        <vt:i4>4390976</vt:i4>
      </vt:variant>
      <vt:variant>
        <vt:i4>600</vt:i4>
      </vt:variant>
      <vt:variant>
        <vt:i4>0</vt:i4>
      </vt:variant>
      <vt:variant>
        <vt:i4>5</vt:i4>
      </vt:variant>
      <vt:variant>
        <vt:lpwstr>https://doi.org/10.1093/bioinformatics/btg431</vt:lpwstr>
      </vt:variant>
      <vt:variant>
        <vt:lpwstr/>
      </vt:variant>
      <vt:variant>
        <vt:i4>1441859</vt:i4>
      </vt:variant>
      <vt:variant>
        <vt:i4>597</vt:i4>
      </vt:variant>
      <vt:variant>
        <vt:i4>0</vt:i4>
      </vt:variant>
      <vt:variant>
        <vt:i4>5</vt:i4>
      </vt:variant>
      <vt:variant>
        <vt:lpwstr>https://doi.org/10.1038/srep42362</vt:lpwstr>
      </vt:variant>
      <vt:variant>
        <vt:lpwstr/>
      </vt:variant>
      <vt:variant>
        <vt:i4>3801145</vt:i4>
      </vt:variant>
      <vt:variant>
        <vt:i4>594</vt:i4>
      </vt:variant>
      <vt:variant>
        <vt:i4>0</vt:i4>
      </vt:variant>
      <vt:variant>
        <vt:i4>5</vt:i4>
      </vt:variant>
      <vt:variant>
        <vt:lpwstr>https://doi.org/10.1016/j.jtbi.2016.12.004</vt:lpwstr>
      </vt:variant>
      <vt:variant>
        <vt:lpwstr/>
      </vt:variant>
      <vt:variant>
        <vt:i4>3473467</vt:i4>
      </vt:variant>
      <vt:variant>
        <vt:i4>591</vt:i4>
      </vt:variant>
      <vt:variant>
        <vt:i4>0</vt:i4>
      </vt:variant>
      <vt:variant>
        <vt:i4>5</vt:i4>
      </vt:variant>
      <vt:variant>
        <vt:lpwstr>https://doi.org/10.1016/j.jtbi.2016.11.028</vt:lpwstr>
      </vt:variant>
      <vt:variant>
        <vt:lpwstr/>
      </vt:variant>
      <vt:variant>
        <vt:i4>2752635</vt:i4>
      </vt:variant>
      <vt:variant>
        <vt:i4>588</vt:i4>
      </vt:variant>
      <vt:variant>
        <vt:i4>0</vt:i4>
      </vt:variant>
      <vt:variant>
        <vt:i4>5</vt:i4>
      </vt:variant>
      <vt:variant>
        <vt:lpwstr>https://doi.org/10.1002/minf.201600085</vt:lpwstr>
      </vt:variant>
      <vt:variant>
        <vt:lpwstr/>
      </vt:variant>
      <vt:variant>
        <vt:i4>5177353</vt:i4>
      </vt:variant>
      <vt:variant>
        <vt:i4>585</vt:i4>
      </vt:variant>
      <vt:variant>
        <vt:i4>0</vt:i4>
      </vt:variant>
      <vt:variant>
        <vt:i4>5</vt:i4>
      </vt:variant>
      <vt:variant>
        <vt:lpwstr>https://doi.org/10.18632/oncotarget.14524</vt:lpwstr>
      </vt:variant>
      <vt:variant>
        <vt:lpwstr/>
      </vt:variant>
      <vt:variant>
        <vt:i4>3670075</vt:i4>
      </vt:variant>
      <vt:variant>
        <vt:i4>582</vt:i4>
      </vt:variant>
      <vt:variant>
        <vt:i4>0</vt:i4>
      </vt:variant>
      <vt:variant>
        <vt:i4>5</vt:i4>
      </vt:variant>
      <vt:variant>
        <vt:lpwstr>https://doi.org/10.1016/j.jtbi.2016.12.026</vt:lpwstr>
      </vt:variant>
      <vt:variant>
        <vt:lpwstr/>
      </vt:variant>
      <vt:variant>
        <vt:i4>5177355</vt:i4>
      </vt:variant>
      <vt:variant>
        <vt:i4>579</vt:i4>
      </vt:variant>
      <vt:variant>
        <vt:i4>0</vt:i4>
      </vt:variant>
      <vt:variant>
        <vt:i4>5</vt:i4>
      </vt:variant>
      <vt:variant>
        <vt:lpwstr>https://doi.org/10.18632/oncotarget.13758</vt:lpwstr>
      </vt:variant>
      <vt:variant>
        <vt:lpwstr/>
      </vt:variant>
      <vt:variant>
        <vt:i4>3014766</vt:i4>
      </vt:variant>
      <vt:variant>
        <vt:i4>576</vt:i4>
      </vt:variant>
      <vt:variant>
        <vt:i4>0</vt:i4>
      </vt:variant>
      <vt:variant>
        <vt:i4>5</vt:i4>
      </vt:variant>
      <vt:variant>
        <vt:lpwstr>https://doi.org/10.1039/C6MB00221H</vt:lpwstr>
      </vt:variant>
      <vt:variant>
        <vt:lpwstr/>
      </vt:variant>
      <vt:variant>
        <vt:i4>393237</vt:i4>
      </vt:variant>
      <vt:variant>
        <vt:i4>573</vt:i4>
      </vt:variant>
      <vt:variant>
        <vt:i4>0</vt:i4>
      </vt:variant>
      <vt:variant>
        <vt:i4>5</vt:i4>
      </vt:variant>
      <vt:variant>
        <vt:lpwstr>https://doi.org/10.1007/s00438-015-1108-5</vt:lpwstr>
      </vt:variant>
      <vt:variant>
        <vt:lpwstr/>
      </vt:variant>
      <vt:variant>
        <vt:i4>4063290</vt:i4>
      </vt:variant>
      <vt:variant>
        <vt:i4>570</vt:i4>
      </vt:variant>
      <vt:variant>
        <vt:i4>0</vt:i4>
      </vt:variant>
      <vt:variant>
        <vt:i4>5</vt:i4>
      </vt:variant>
      <vt:variant>
        <vt:lpwstr>https://doi.org/10.1016/j.jtbi.2016.02.020</vt:lpwstr>
      </vt:variant>
      <vt:variant>
        <vt:lpwstr/>
      </vt:variant>
      <vt:variant>
        <vt:i4>4456459</vt:i4>
      </vt:variant>
      <vt:variant>
        <vt:i4>567</vt:i4>
      </vt:variant>
      <vt:variant>
        <vt:i4>0</vt:i4>
      </vt:variant>
      <vt:variant>
        <vt:i4>5</vt:i4>
      </vt:variant>
      <vt:variant>
        <vt:lpwstr>https://doi.org/10.18632/oncotarget.7815</vt:lpwstr>
      </vt:variant>
      <vt:variant>
        <vt:lpwstr/>
      </vt:variant>
      <vt:variant>
        <vt:i4>1966174</vt:i4>
      </vt:variant>
      <vt:variant>
        <vt:i4>564</vt:i4>
      </vt:variant>
      <vt:variant>
        <vt:i4>0</vt:i4>
      </vt:variant>
      <vt:variant>
        <vt:i4>5</vt:i4>
      </vt:variant>
      <vt:variant>
        <vt:lpwstr>https://doi.org/10.2174/1568026615666150819110421</vt:lpwstr>
      </vt:variant>
      <vt:variant>
        <vt:lpwstr/>
      </vt:variant>
      <vt:variant>
        <vt:i4>2949155</vt:i4>
      </vt:variant>
      <vt:variant>
        <vt:i4>561</vt:i4>
      </vt:variant>
      <vt:variant>
        <vt:i4>0</vt:i4>
      </vt:variant>
      <vt:variant>
        <vt:i4>5</vt:i4>
      </vt:variant>
      <vt:variant>
        <vt:lpwstr>https://doi.org/10.1016/j.cmpb.2016.07.004</vt:lpwstr>
      </vt:variant>
      <vt:variant>
        <vt:lpwstr/>
      </vt:variant>
      <vt:variant>
        <vt:i4>2949222</vt:i4>
      </vt:variant>
      <vt:variant>
        <vt:i4>558</vt:i4>
      </vt:variant>
      <vt:variant>
        <vt:i4>0</vt:i4>
      </vt:variant>
      <vt:variant>
        <vt:i4>5</vt:i4>
      </vt:variant>
      <vt:variant>
        <vt:lpwstr>https://doi.org/10.1039/C5MB00883B</vt:lpwstr>
      </vt:variant>
      <vt:variant>
        <vt:lpwstr/>
      </vt:variant>
      <vt:variant>
        <vt:i4>3997796</vt:i4>
      </vt:variant>
      <vt:variant>
        <vt:i4>555</vt:i4>
      </vt:variant>
      <vt:variant>
        <vt:i4>0</vt:i4>
      </vt:variant>
      <vt:variant>
        <vt:i4>5</vt:i4>
      </vt:variant>
      <vt:variant>
        <vt:lpwstr>https://doi.org/10.1093/nar/gkv1036</vt:lpwstr>
      </vt:variant>
      <vt:variant>
        <vt:lpwstr/>
      </vt:variant>
      <vt:variant>
        <vt:i4>3473467</vt:i4>
      </vt:variant>
      <vt:variant>
        <vt:i4>552</vt:i4>
      </vt:variant>
      <vt:variant>
        <vt:i4>0</vt:i4>
      </vt:variant>
      <vt:variant>
        <vt:i4>5</vt:i4>
      </vt:variant>
      <vt:variant>
        <vt:lpwstr>https://doi.org/10.1016/j.jtbi.2016.11.028</vt:lpwstr>
      </vt:variant>
      <vt:variant>
        <vt:lpwstr/>
      </vt:variant>
      <vt:variant>
        <vt:i4>3080306</vt:i4>
      </vt:variant>
      <vt:variant>
        <vt:i4>549</vt:i4>
      </vt:variant>
      <vt:variant>
        <vt:i4>0</vt:i4>
      </vt:variant>
      <vt:variant>
        <vt:i4>5</vt:i4>
      </vt:variant>
      <vt:variant>
        <vt:lpwstr>https://doi.org/10.1002/minf.201600010</vt:lpwstr>
      </vt:variant>
      <vt:variant>
        <vt:lpwstr/>
      </vt:variant>
      <vt:variant>
        <vt:i4>4587602</vt:i4>
      </vt:variant>
      <vt:variant>
        <vt:i4>546</vt:i4>
      </vt:variant>
      <vt:variant>
        <vt:i4>0</vt:i4>
      </vt:variant>
      <vt:variant>
        <vt:i4>5</vt:i4>
      </vt:variant>
      <vt:variant>
        <vt:lpwstr>https://doi.org/10.1016/j.ab.2015.12.017</vt:lpwstr>
      </vt:variant>
      <vt:variant>
        <vt:lpwstr/>
      </vt:variant>
      <vt:variant>
        <vt:i4>5767237</vt:i4>
      </vt:variant>
      <vt:variant>
        <vt:i4>543</vt:i4>
      </vt:variant>
      <vt:variant>
        <vt:i4>0</vt:i4>
      </vt:variant>
      <vt:variant>
        <vt:i4>5</vt:i4>
      </vt:variant>
      <vt:variant>
        <vt:lpwstr>https://doi.org/10.1093/bioinformatics/btw186</vt:lpwstr>
      </vt:variant>
      <vt:variant>
        <vt:lpwstr/>
      </vt:variant>
      <vt:variant>
        <vt:i4>3801147</vt:i4>
      </vt:variant>
      <vt:variant>
        <vt:i4>540</vt:i4>
      </vt:variant>
      <vt:variant>
        <vt:i4>0</vt:i4>
      </vt:variant>
      <vt:variant>
        <vt:i4>5</vt:i4>
      </vt:variant>
      <vt:variant>
        <vt:lpwstr>https://doi.org/10.1016/j.jtbi.2016.04.032</vt:lpwstr>
      </vt:variant>
      <vt:variant>
        <vt:lpwstr/>
      </vt:variant>
      <vt:variant>
        <vt:i4>983114</vt:i4>
      </vt:variant>
      <vt:variant>
        <vt:i4>537</vt:i4>
      </vt:variant>
      <vt:variant>
        <vt:i4>0</vt:i4>
      </vt:variant>
      <vt:variant>
        <vt:i4>5</vt:i4>
      </vt:variant>
      <vt:variant>
        <vt:lpwstr>https://doi.org/10.1080/07391102.2015.1095116</vt:lpwstr>
      </vt:variant>
      <vt:variant>
        <vt:lpwstr/>
      </vt:variant>
      <vt:variant>
        <vt:i4>3866681</vt:i4>
      </vt:variant>
      <vt:variant>
        <vt:i4>534</vt:i4>
      </vt:variant>
      <vt:variant>
        <vt:i4>0</vt:i4>
      </vt:variant>
      <vt:variant>
        <vt:i4>5</vt:i4>
      </vt:variant>
      <vt:variant>
        <vt:lpwstr>https://doi.org/10.1016/j.jtbi.2016.07.010</vt:lpwstr>
      </vt:variant>
      <vt:variant>
        <vt:lpwstr/>
      </vt:variant>
      <vt:variant>
        <vt:i4>3407928</vt:i4>
      </vt:variant>
      <vt:variant>
        <vt:i4>531</vt:i4>
      </vt:variant>
      <vt:variant>
        <vt:i4>0</vt:i4>
      </vt:variant>
      <vt:variant>
        <vt:i4>5</vt:i4>
      </vt:variant>
      <vt:variant>
        <vt:lpwstr>https://doi.org/10.1016/j.jtbi.2016.09.001</vt:lpwstr>
      </vt:variant>
      <vt:variant>
        <vt:lpwstr/>
      </vt:variant>
      <vt:variant>
        <vt:i4>3342433</vt:i4>
      </vt:variant>
      <vt:variant>
        <vt:i4>528</vt:i4>
      </vt:variant>
      <vt:variant>
        <vt:i4>0</vt:i4>
      </vt:variant>
      <vt:variant>
        <vt:i4>5</vt:i4>
      </vt:variant>
      <vt:variant>
        <vt:lpwstr>https://doi.org/10.1093/nar/gkv458</vt:lpwstr>
      </vt:variant>
      <vt:variant>
        <vt:lpwstr/>
      </vt:variant>
      <vt:variant>
        <vt:i4>65556</vt:i4>
      </vt:variant>
      <vt:variant>
        <vt:i4>525</vt:i4>
      </vt:variant>
      <vt:variant>
        <vt:i4>0</vt:i4>
      </vt:variant>
      <vt:variant>
        <vt:i4>5</vt:i4>
      </vt:variant>
      <vt:variant>
        <vt:lpwstr>https://doi.org/10.1007/s00438-015-1078-7</vt:lpwstr>
      </vt:variant>
      <vt:variant>
        <vt:lpwstr/>
      </vt:variant>
      <vt:variant>
        <vt:i4>5242956</vt:i4>
      </vt:variant>
      <vt:variant>
        <vt:i4>522</vt:i4>
      </vt:variant>
      <vt:variant>
        <vt:i4>0</vt:i4>
      </vt:variant>
      <vt:variant>
        <vt:i4>5</vt:i4>
      </vt:variant>
      <vt:variant>
        <vt:lpwstr>https://doi.org/10.1093/bioinformatics/btu820</vt:lpwstr>
      </vt:variant>
      <vt:variant>
        <vt:lpwstr/>
      </vt:variant>
      <vt:variant>
        <vt:i4>2555946</vt:i4>
      </vt:variant>
      <vt:variant>
        <vt:i4>519</vt:i4>
      </vt:variant>
      <vt:variant>
        <vt:i4>0</vt:i4>
      </vt:variant>
      <vt:variant>
        <vt:i4>5</vt:i4>
      </vt:variant>
      <vt:variant>
        <vt:lpwstr>https://doi.org/10.1016/j.omtn.2017.03.006</vt:lpwstr>
      </vt:variant>
      <vt:variant>
        <vt:lpwstr/>
      </vt:variant>
      <vt:variant>
        <vt:i4>2097257</vt:i4>
      </vt:variant>
      <vt:variant>
        <vt:i4>516</vt:i4>
      </vt:variant>
      <vt:variant>
        <vt:i4>0</vt:i4>
      </vt:variant>
      <vt:variant>
        <vt:i4>5</vt:i4>
      </vt:variant>
      <vt:variant>
        <vt:lpwstr>https://doi.org/10.1039/C5MB00155B</vt:lpwstr>
      </vt:variant>
      <vt:variant>
        <vt:lpwstr/>
      </vt:variant>
      <vt:variant>
        <vt:i4>4128871</vt:i4>
      </vt:variant>
      <vt:variant>
        <vt:i4>513</vt:i4>
      </vt:variant>
      <vt:variant>
        <vt:i4>0</vt:i4>
      </vt:variant>
      <vt:variant>
        <vt:i4>5</vt:i4>
      </vt:variant>
      <vt:variant>
        <vt:lpwstr>https://doi.org/10.1093/nar/gku1019</vt:lpwstr>
      </vt:variant>
      <vt:variant>
        <vt:lpwstr/>
      </vt:variant>
      <vt:variant>
        <vt:i4>5898308</vt:i4>
      </vt:variant>
      <vt:variant>
        <vt:i4>510</vt:i4>
      </vt:variant>
      <vt:variant>
        <vt:i4>0</vt:i4>
      </vt:variant>
      <vt:variant>
        <vt:i4>5</vt:i4>
      </vt:variant>
      <vt:variant>
        <vt:lpwstr>https://doi.org/10.1093/bioinformatics/btu083</vt:lpwstr>
      </vt:variant>
      <vt:variant>
        <vt:lpwstr/>
      </vt:variant>
      <vt:variant>
        <vt:i4>5374018</vt:i4>
      </vt:variant>
      <vt:variant>
        <vt:i4>507</vt:i4>
      </vt:variant>
      <vt:variant>
        <vt:i4>0</vt:i4>
      </vt:variant>
      <vt:variant>
        <vt:i4>5</vt:i4>
      </vt:variant>
      <vt:variant>
        <vt:lpwstr>https://doi.org/10.1093/bioinformatics/btu602</vt:lpwstr>
      </vt:variant>
      <vt:variant>
        <vt:lpwstr/>
      </vt:variant>
      <vt:variant>
        <vt:i4>4653137</vt:i4>
      </vt:variant>
      <vt:variant>
        <vt:i4>504</vt:i4>
      </vt:variant>
      <vt:variant>
        <vt:i4>0</vt:i4>
      </vt:variant>
      <vt:variant>
        <vt:i4>5</vt:i4>
      </vt:variant>
      <vt:variant>
        <vt:lpwstr>https://doi.org/10.1016/j.ab.2014.06.022</vt:lpwstr>
      </vt:variant>
      <vt:variant>
        <vt:lpwstr/>
      </vt:variant>
      <vt:variant>
        <vt:i4>4587603</vt:i4>
      </vt:variant>
      <vt:variant>
        <vt:i4>501</vt:i4>
      </vt:variant>
      <vt:variant>
        <vt:i4>0</vt:i4>
      </vt:variant>
      <vt:variant>
        <vt:i4>5</vt:i4>
      </vt:variant>
      <vt:variant>
        <vt:lpwstr>https://doi.org/10.1016/j.ab.2014.04.001</vt:lpwstr>
      </vt:variant>
      <vt:variant>
        <vt:lpwstr/>
      </vt:variant>
      <vt:variant>
        <vt:i4>4194384</vt:i4>
      </vt:variant>
      <vt:variant>
        <vt:i4>498</vt:i4>
      </vt:variant>
      <vt:variant>
        <vt:i4>0</vt:i4>
      </vt:variant>
      <vt:variant>
        <vt:i4>5</vt:i4>
      </vt:variant>
      <vt:variant>
        <vt:lpwstr>https://doi.org/10.1016/j.ab.2007.10.012</vt:lpwstr>
      </vt:variant>
      <vt:variant>
        <vt:lpwstr/>
      </vt:variant>
      <vt:variant>
        <vt:i4>2621549</vt:i4>
      </vt:variant>
      <vt:variant>
        <vt:i4>495</vt:i4>
      </vt:variant>
      <vt:variant>
        <vt:i4>0</vt:i4>
      </vt:variant>
      <vt:variant>
        <vt:i4>5</vt:i4>
      </vt:variant>
      <vt:variant>
        <vt:lpwstr>https://doi.org/10.1039/c2mb25280e</vt:lpwstr>
      </vt:variant>
      <vt:variant>
        <vt:lpwstr/>
      </vt:variant>
      <vt:variant>
        <vt:i4>3276862</vt:i4>
      </vt:variant>
      <vt:variant>
        <vt:i4>492</vt:i4>
      </vt:variant>
      <vt:variant>
        <vt:i4>0</vt:i4>
      </vt:variant>
      <vt:variant>
        <vt:i4>5</vt:i4>
      </vt:variant>
      <vt:variant>
        <vt:lpwstr>https://doi.org/10.1016/j.jtbi.2012.06.028</vt:lpwstr>
      </vt:variant>
      <vt:variant>
        <vt:lpwstr/>
      </vt:variant>
      <vt:variant>
        <vt:i4>3735615</vt:i4>
      </vt:variant>
      <vt:variant>
        <vt:i4>489</vt:i4>
      </vt:variant>
      <vt:variant>
        <vt:i4>0</vt:i4>
      </vt:variant>
      <vt:variant>
        <vt:i4>5</vt:i4>
      </vt:variant>
      <vt:variant>
        <vt:lpwstr>https://doi.org/10.1016/j.jtbi.2011.10.015</vt:lpwstr>
      </vt:variant>
      <vt:variant>
        <vt:lpwstr/>
      </vt:variant>
      <vt:variant>
        <vt:i4>2228330</vt:i4>
      </vt:variant>
      <vt:variant>
        <vt:i4>486</vt:i4>
      </vt:variant>
      <vt:variant>
        <vt:i4>0</vt:i4>
      </vt:variant>
      <vt:variant>
        <vt:i4>5</vt:i4>
      </vt:variant>
      <vt:variant>
        <vt:lpwstr>https://doi.org/10.1093/protein/gzt042</vt:lpwstr>
      </vt:variant>
      <vt:variant>
        <vt:lpwstr/>
      </vt:variant>
      <vt:variant>
        <vt:i4>5308504</vt:i4>
      </vt:variant>
      <vt:variant>
        <vt:i4>483</vt:i4>
      </vt:variant>
      <vt:variant>
        <vt:i4>0</vt:i4>
      </vt:variant>
      <vt:variant>
        <vt:i4>5</vt:i4>
      </vt:variant>
      <vt:variant>
        <vt:lpwstr>https://doi.org/10.1109/TNB.2013.2272014</vt:lpwstr>
      </vt:variant>
      <vt:variant>
        <vt:lpwstr/>
      </vt:variant>
      <vt:variant>
        <vt:i4>786451</vt:i4>
      </vt:variant>
      <vt:variant>
        <vt:i4>480</vt:i4>
      </vt:variant>
      <vt:variant>
        <vt:i4>0</vt:i4>
      </vt:variant>
      <vt:variant>
        <vt:i4>5</vt:i4>
      </vt:variant>
      <vt:variant>
        <vt:lpwstr>https://doi.org/10.1007/s10822-012-9628-0</vt:lpwstr>
      </vt:variant>
      <vt:variant>
        <vt:lpwstr/>
      </vt:variant>
      <vt:variant>
        <vt:i4>131167</vt:i4>
      </vt:variant>
      <vt:variant>
        <vt:i4>477</vt:i4>
      </vt:variant>
      <vt:variant>
        <vt:i4>0</vt:i4>
      </vt:variant>
      <vt:variant>
        <vt:i4>5</vt:i4>
      </vt:variant>
      <vt:variant>
        <vt:lpwstr>https://doi.org/10.3390/ijms150711204</vt:lpwstr>
      </vt:variant>
      <vt:variant>
        <vt:lpwstr/>
      </vt:variant>
      <vt:variant>
        <vt:i4>4522071</vt:i4>
      </vt:variant>
      <vt:variant>
        <vt:i4>474</vt:i4>
      </vt:variant>
      <vt:variant>
        <vt:i4>0</vt:i4>
      </vt:variant>
      <vt:variant>
        <vt:i4>5</vt:i4>
      </vt:variant>
      <vt:variant>
        <vt:lpwstr>https://doi.org/10.1016/j.biochi.2014.06.001</vt:lpwstr>
      </vt:variant>
      <vt:variant>
        <vt:lpwstr/>
      </vt:variant>
      <vt:variant>
        <vt:i4>3801149</vt:i4>
      </vt:variant>
      <vt:variant>
        <vt:i4>471</vt:i4>
      </vt:variant>
      <vt:variant>
        <vt:i4>0</vt:i4>
      </vt:variant>
      <vt:variant>
        <vt:i4>5</vt:i4>
      </vt:variant>
      <vt:variant>
        <vt:lpwstr>https://doi.org/10.1016/j.jtbi.2013.11.017</vt:lpwstr>
      </vt:variant>
      <vt:variant>
        <vt:lpwstr/>
      </vt:variant>
      <vt:variant>
        <vt:i4>5439572</vt:i4>
      </vt:variant>
      <vt:variant>
        <vt:i4>468</vt:i4>
      </vt:variant>
      <vt:variant>
        <vt:i4>0</vt:i4>
      </vt:variant>
      <vt:variant>
        <vt:i4>5</vt:i4>
      </vt:variant>
      <vt:variant>
        <vt:lpwstr>https://doi.org/10.1109/TNB.2015.2500186</vt:lpwstr>
      </vt:variant>
      <vt:variant>
        <vt:lpwstr/>
      </vt:variant>
      <vt:variant>
        <vt:i4>1114132</vt:i4>
      </vt:variant>
      <vt:variant>
        <vt:i4>465</vt:i4>
      </vt:variant>
      <vt:variant>
        <vt:i4>0</vt:i4>
      </vt:variant>
      <vt:variant>
        <vt:i4>5</vt:i4>
      </vt:variant>
      <vt:variant>
        <vt:lpwstr>https://doi.org/10.1142/S0219720015500249</vt:lpwstr>
      </vt:variant>
      <vt:variant>
        <vt:lpwstr/>
      </vt:variant>
      <vt:variant>
        <vt:i4>720917</vt:i4>
      </vt:variant>
      <vt:variant>
        <vt:i4>462</vt:i4>
      </vt:variant>
      <vt:variant>
        <vt:i4>0</vt:i4>
      </vt:variant>
      <vt:variant>
        <vt:i4>5</vt:i4>
      </vt:variant>
      <vt:variant>
        <vt:lpwstr>https://doi.org/10.1007/s11517-014-1238-7</vt:lpwstr>
      </vt:variant>
      <vt:variant>
        <vt:lpwstr/>
      </vt:variant>
      <vt:variant>
        <vt:i4>2752627</vt:i4>
      </vt:variant>
      <vt:variant>
        <vt:i4>459</vt:i4>
      </vt:variant>
      <vt:variant>
        <vt:i4>0</vt:i4>
      </vt:variant>
      <vt:variant>
        <vt:i4>5</vt:i4>
      </vt:variant>
      <vt:variant>
        <vt:lpwstr>https://doi.org/10.1002/minf.201400025</vt:lpwstr>
      </vt:variant>
      <vt:variant>
        <vt:lpwstr/>
      </vt:variant>
      <vt:variant>
        <vt:i4>3932216</vt:i4>
      </vt:variant>
      <vt:variant>
        <vt:i4>456</vt:i4>
      </vt:variant>
      <vt:variant>
        <vt:i4>0</vt:i4>
      </vt:variant>
      <vt:variant>
        <vt:i4>5</vt:i4>
      </vt:variant>
      <vt:variant>
        <vt:lpwstr>https://doi.org/10.1016/j.jtbi.2014.09.029</vt:lpwstr>
      </vt:variant>
      <vt:variant>
        <vt:lpwstr/>
      </vt:variant>
      <vt:variant>
        <vt:i4>2883616</vt:i4>
      </vt:variant>
      <vt:variant>
        <vt:i4>453</vt:i4>
      </vt:variant>
      <vt:variant>
        <vt:i4>0</vt:i4>
      </vt:variant>
      <vt:variant>
        <vt:i4>5</vt:i4>
      </vt:variant>
      <vt:variant>
        <vt:lpwstr>https://doi.org/10.1016/j.cmpb.2015.07.005</vt:lpwstr>
      </vt:variant>
      <vt:variant>
        <vt:lpwstr/>
      </vt:variant>
      <vt:variant>
        <vt:i4>2162798</vt:i4>
      </vt:variant>
      <vt:variant>
        <vt:i4>450</vt:i4>
      </vt:variant>
      <vt:variant>
        <vt:i4>0</vt:i4>
      </vt:variant>
      <vt:variant>
        <vt:i4>5</vt:i4>
      </vt:variant>
      <vt:variant>
        <vt:lpwstr>https://doi.org/10.1039/C4MB00645C</vt:lpwstr>
      </vt:variant>
      <vt:variant>
        <vt:lpwstr/>
      </vt:variant>
      <vt:variant>
        <vt:i4>5242950</vt:i4>
      </vt:variant>
      <vt:variant>
        <vt:i4>447</vt:i4>
      </vt:variant>
      <vt:variant>
        <vt:i4>0</vt:i4>
      </vt:variant>
      <vt:variant>
        <vt:i4>5</vt:i4>
      </vt:variant>
      <vt:variant>
        <vt:lpwstr>https://doi.org/10.1093/bioinformatics/btv212</vt:lpwstr>
      </vt:variant>
      <vt:variant>
        <vt:lpwstr/>
      </vt:variant>
      <vt:variant>
        <vt:i4>131096</vt:i4>
      </vt:variant>
      <vt:variant>
        <vt:i4>444</vt:i4>
      </vt:variant>
      <vt:variant>
        <vt:i4>0</vt:i4>
      </vt:variant>
      <vt:variant>
        <vt:i4>5</vt:i4>
      </vt:variant>
      <vt:variant>
        <vt:lpwstr>https://doi.org/10.1007/s00438-015-1044-4</vt:lpwstr>
      </vt:variant>
      <vt:variant>
        <vt:lpwstr/>
      </vt:variant>
      <vt:variant>
        <vt:i4>3407931</vt:i4>
      </vt:variant>
      <vt:variant>
        <vt:i4>441</vt:i4>
      </vt:variant>
      <vt:variant>
        <vt:i4>0</vt:i4>
      </vt:variant>
      <vt:variant>
        <vt:i4>5</vt:i4>
      </vt:variant>
      <vt:variant>
        <vt:lpwstr>https://doi.org/10.1016/j.jtbi.2014.10.008</vt:lpwstr>
      </vt:variant>
      <vt:variant>
        <vt:lpwstr/>
      </vt:variant>
      <vt:variant>
        <vt:i4>3670074</vt:i4>
      </vt:variant>
      <vt:variant>
        <vt:i4>438</vt:i4>
      </vt:variant>
      <vt:variant>
        <vt:i4>0</vt:i4>
      </vt:variant>
      <vt:variant>
        <vt:i4>5</vt:i4>
      </vt:variant>
      <vt:variant>
        <vt:lpwstr>https://doi.org/10.1016/j.jtbi.2014.10.014</vt:lpwstr>
      </vt:variant>
      <vt:variant>
        <vt:lpwstr/>
      </vt:variant>
      <vt:variant>
        <vt:i4>5963857</vt:i4>
      </vt:variant>
      <vt:variant>
        <vt:i4>435</vt:i4>
      </vt:variant>
      <vt:variant>
        <vt:i4>0</vt:i4>
      </vt:variant>
      <vt:variant>
        <vt:i4>5</vt:i4>
      </vt:variant>
      <vt:variant>
        <vt:lpwstr>https://doi.org/10.1002/jcc.24210</vt:lpwstr>
      </vt:variant>
      <vt:variant>
        <vt:lpwstr/>
      </vt:variant>
      <vt:variant>
        <vt:i4>4522064</vt:i4>
      </vt:variant>
      <vt:variant>
        <vt:i4>432</vt:i4>
      </vt:variant>
      <vt:variant>
        <vt:i4>0</vt:i4>
      </vt:variant>
      <vt:variant>
        <vt:i4>5</vt:i4>
      </vt:variant>
      <vt:variant>
        <vt:lpwstr>https://doi.org/10.1016/j.ab.2014.04.032</vt:lpwstr>
      </vt:variant>
      <vt:variant>
        <vt:lpwstr/>
      </vt:variant>
      <vt:variant>
        <vt:i4>3145786</vt:i4>
      </vt:variant>
      <vt:variant>
        <vt:i4>429</vt:i4>
      </vt:variant>
      <vt:variant>
        <vt:i4>0</vt:i4>
      </vt:variant>
      <vt:variant>
        <vt:i4>5</vt:i4>
      </vt:variant>
      <vt:variant>
        <vt:lpwstr>https://doi.org/10.1016/j.jtbi.2014.04.008</vt:lpwstr>
      </vt:variant>
      <vt:variant>
        <vt:lpwstr/>
      </vt:variant>
      <vt:variant>
        <vt:i4>3539002</vt:i4>
      </vt:variant>
      <vt:variant>
        <vt:i4>426</vt:i4>
      </vt:variant>
      <vt:variant>
        <vt:i4>0</vt:i4>
      </vt:variant>
      <vt:variant>
        <vt:i4>5</vt:i4>
      </vt:variant>
      <vt:variant>
        <vt:lpwstr>https://doi.org/10.1016/j.jtbi.2014.08.002</vt:lpwstr>
      </vt:variant>
      <vt:variant>
        <vt:lpwstr/>
      </vt:variant>
      <vt:variant>
        <vt:i4>4456512</vt:i4>
      </vt:variant>
      <vt:variant>
        <vt:i4>423</vt:i4>
      </vt:variant>
      <vt:variant>
        <vt:i4>0</vt:i4>
      </vt:variant>
      <vt:variant>
        <vt:i4>5</vt:i4>
      </vt:variant>
      <vt:variant>
        <vt:lpwstr>https://doi.org/10.1371/journal.pone.0105018</vt:lpwstr>
      </vt:variant>
      <vt:variant>
        <vt:lpwstr/>
      </vt:variant>
      <vt:variant>
        <vt:i4>3670074</vt:i4>
      </vt:variant>
      <vt:variant>
        <vt:i4>420</vt:i4>
      </vt:variant>
      <vt:variant>
        <vt:i4>0</vt:i4>
      </vt:variant>
      <vt:variant>
        <vt:i4>5</vt:i4>
      </vt:variant>
      <vt:variant>
        <vt:lpwstr>https://doi.org/10.1016/j.jtbi.2014.07.003</vt:lpwstr>
      </vt:variant>
      <vt:variant>
        <vt:lpwstr/>
      </vt:variant>
      <vt:variant>
        <vt:i4>4063290</vt:i4>
      </vt:variant>
      <vt:variant>
        <vt:i4>417</vt:i4>
      </vt:variant>
      <vt:variant>
        <vt:i4>0</vt:i4>
      </vt:variant>
      <vt:variant>
        <vt:i4>5</vt:i4>
      </vt:variant>
      <vt:variant>
        <vt:lpwstr>https://doi.org/10.1016/j.jtbi.2014.04.006</vt:lpwstr>
      </vt:variant>
      <vt:variant>
        <vt:lpwstr/>
      </vt:variant>
      <vt:variant>
        <vt:i4>4915275</vt:i4>
      </vt:variant>
      <vt:variant>
        <vt:i4>414</vt:i4>
      </vt:variant>
      <vt:variant>
        <vt:i4>0</vt:i4>
      </vt:variant>
      <vt:variant>
        <vt:i4>5</vt:i4>
      </vt:variant>
      <vt:variant>
        <vt:lpwstr>https://doi.org/10.1371/journal.pone.0106691</vt:lpwstr>
      </vt:variant>
      <vt:variant>
        <vt:lpwstr/>
      </vt:variant>
      <vt:variant>
        <vt:i4>3932222</vt:i4>
      </vt:variant>
      <vt:variant>
        <vt:i4>411</vt:i4>
      </vt:variant>
      <vt:variant>
        <vt:i4>0</vt:i4>
      </vt:variant>
      <vt:variant>
        <vt:i4>5</vt:i4>
      </vt:variant>
      <vt:variant>
        <vt:lpwstr>https://doi.org/10.1016/j.jtbi.2013.11.021</vt:lpwstr>
      </vt:variant>
      <vt:variant>
        <vt:lpwstr/>
      </vt:variant>
      <vt:variant>
        <vt:i4>3342398</vt:i4>
      </vt:variant>
      <vt:variant>
        <vt:i4>408</vt:i4>
      </vt:variant>
      <vt:variant>
        <vt:i4>0</vt:i4>
      </vt:variant>
      <vt:variant>
        <vt:i4>5</vt:i4>
      </vt:variant>
      <vt:variant>
        <vt:lpwstr>https://doi.org/10.1016/j.jtbi.2013.08.037</vt:lpwstr>
      </vt:variant>
      <vt:variant>
        <vt:lpwstr/>
      </vt:variant>
      <vt:variant>
        <vt:i4>4522052</vt:i4>
      </vt:variant>
      <vt:variant>
        <vt:i4>405</vt:i4>
      </vt:variant>
      <vt:variant>
        <vt:i4>0</vt:i4>
      </vt:variant>
      <vt:variant>
        <vt:i4>5</vt:i4>
      </vt:variant>
      <vt:variant>
        <vt:lpwstr>https://doi.org/10.1371/journal.pone.0055844</vt:lpwstr>
      </vt:variant>
      <vt:variant>
        <vt:lpwstr/>
      </vt:variant>
      <vt:variant>
        <vt:i4>4128828</vt:i4>
      </vt:variant>
      <vt:variant>
        <vt:i4>402</vt:i4>
      </vt:variant>
      <vt:variant>
        <vt:i4>0</vt:i4>
      </vt:variant>
      <vt:variant>
        <vt:i4>5</vt:i4>
      </vt:variant>
      <vt:variant>
        <vt:lpwstr>https://doi.org/10.1016/j.jtbi.2013.03.010</vt:lpwstr>
      </vt:variant>
      <vt:variant>
        <vt:lpwstr/>
      </vt:variant>
      <vt:variant>
        <vt:i4>2293865</vt:i4>
      </vt:variant>
      <vt:variant>
        <vt:i4>399</vt:i4>
      </vt:variant>
      <vt:variant>
        <vt:i4>0</vt:i4>
      </vt:variant>
      <vt:variant>
        <vt:i4>5</vt:i4>
      </vt:variant>
      <vt:variant>
        <vt:lpwstr>https://doi.org/10.2174/092986613804910608</vt:lpwstr>
      </vt:variant>
      <vt:variant>
        <vt:lpwstr/>
      </vt:variant>
      <vt:variant>
        <vt:i4>4128828</vt:i4>
      </vt:variant>
      <vt:variant>
        <vt:i4>396</vt:i4>
      </vt:variant>
      <vt:variant>
        <vt:i4>0</vt:i4>
      </vt:variant>
      <vt:variant>
        <vt:i4>5</vt:i4>
      </vt:variant>
      <vt:variant>
        <vt:lpwstr>https://doi.org/10.1016/j.jtbi.2013.01.012</vt:lpwstr>
      </vt:variant>
      <vt:variant>
        <vt:lpwstr/>
      </vt:variant>
      <vt:variant>
        <vt:i4>4456521</vt:i4>
      </vt:variant>
      <vt:variant>
        <vt:i4>393</vt:i4>
      </vt:variant>
      <vt:variant>
        <vt:i4>0</vt:i4>
      </vt:variant>
      <vt:variant>
        <vt:i4>5</vt:i4>
      </vt:variant>
      <vt:variant>
        <vt:lpwstr>https://doi.org/10.1002/qua.24383</vt:lpwstr>
      </vt:variant>
      <vt:variant>
        <vt:lpwstr/>
      </vt:variant>
      <vt:variant>
        <vt:i4>2818174</vt:i4>
      </vt:variant>
      <vt:variant>
        <vt:i4>390</vt:i4>
      </vt:variant>
      <vt:variant>
        <vt:i4>0</vt:i4>
      </vt:variant>
      <vt:variant>
        <vt:i4>5</vt:i4>
      </vt:variant>
      <vt:variant>
        <vt:lpwstr>https://doi.org/10.1002/minf.201300084</vt:lpwstr>
      </vt:variant>
      <vt:variant>
        <vt:lpwstr/>
      </vt:variant>
      <vt:variant>
        <vt:i4>1638426</vt:i4>
      </vt:variant>
      <vt:variant>
        <vt:i4>387</vt:i4>
      </vt:variant>
      <vt:variant>
        <vt:i4>0</vt:i4>
      </vt:variant>
      <vt:variant>
        <vt:i4>5</vt:i4>
      </vt:variant>
      <vt:variant>
        <vt:lpwstr>https://doi.org/10.1142/S1793524513500034</vt:lpwstr>
      </vt:variant>
      <vt:variant>
        <vt:lpwstr/>
      </vt:variant>
      <vt:variant>
        <vt:i4>4063294</vt:i4>
      </vt:variant>
      <vt:variant>
        <vt:i4>384</vt:i4>
      </vt:variant>
      <vt:variant>
        <vt:i4>0</vt:i4>
      </vt:variant>
      <vt:variant>
        <vt:i4>5</vt:i4>
      </vt:variant>
      <vt:variant>
        <vt:lpwstr>https://doi.org/10.1016/j.jtbi.2013.06.034</vt:lpwstr>
      </vt:variant>
      <vt:variant>
        <vt:lpwstr/>
      </vt:variant>
      <vt:variant>
        <vt:i4>458783</vt:i4>
      </vt:variant>
      <vt:variant>
        <vt:i4>381</vt:i4>
      </vt:variant>
      <vt:variant>
        <vt:i4>0</vt:i4>
      </vt:variant>
      <vt:variant>
        <vt:i4>5</vt:i4>
      </vt:variant>
      <vt:variant>
        <vt:lpwstr>https://doi.org/10.1007/s00232-013-9536-9</vt:lpwstr>
      </vt:variant>
      <vt:variant>
        <vt:lpwstr/>
      </vt:variant>
      <vt:variant>
        <vt:i4>6226008</vt:i4>
      </vt:variant>
      <vt:variant>
        <vt:i4>378</vt:i4>
      </vt:variant>
      <vt:variant>
        <vt:i4>0</vt:i4>
      </vt:variant>
      <vt:variant>
        <vt:i4>5</vt:i4>
      </vt:variant>
      <vt:variant>
        <vt:lpwstr>https://doi.org/10.1016/j.biosystems.2013.04.005</vt:lpwstr>
      </vt:variant>
      <vt:variant>
        <vt:lpwstr/>
      </vt:variant>
      <vt:variant>
        <vt:i4>4390988</vt:i4>
      </vt:variant>
      <vt:variant>
        <vt:i4>375</vt:i4>
      </vt:variant>
      <vt:variant>
        <vt:i4>0</vt:i4>
      </vt:variant>
      <vt:variant>
        <vt:i4>5</vt:i4>
      </vt:variant>
      <vt:variant>
        <vt:lpwstr>https://doi.org/10.1080/1062936X.2013.773378</vt:lpwstr>
      </vt:variant>
      <vt:variant>
        <vt:lpwstr/>
      </vt:variant>
      <vt:variant>
        <vt:i4>3014762</vt:i4>
      </vt:variant>
      <vt:variant>
        <vt:i4>372</vt:i4>
      </vt:variant>
      <vt:variant>
        <vt:i4>0</vt:i4>
      </vt:variant>
      <vt:variant>
        <vt:i4>5</vt:i4>
      </vt:variant>
      <vt:variant>
        <vt:lpwstr>https://doi.org/10.2174/1875036201307010041</vt:lpwstr>
      </vt:variant>
      <vt:variant>
        <vt:lpwstr/>
      </vt:variant>
      <vt:variant>
        <vt:i4>3735613</vt:i4>
      </vt:variant>
      <vt:variant>
        <vt:i4>369</vt:i4>
      </vt:variant>
      <vt:variant>
        <vt:i4>0</vt:i4>
      </vt:variant>
      <vt:variant>
        <vt:i4>5</vt:i4>
      </vt:variant>
      <vt:variant>
        <vt:lpwstr>https://doi.org/10.1016/j.jtbi.2013.06.003</vt:lpwstr>
      </vt:variant>
      <vt:variant>
        <vt:lpwstr/>
      </vt:variant>
      <vt:variant>
        <vt:i4>4128830</vt:i4>
      </vt:variant>
      <vt:variant>
        <vt:i4>366</vt:i4>
      </vt:variant>
      <vt:variant>
        <vt:i4>0</vt:i4>
      </vt:variant>
      <vt:variant>
        <vt:i4>5</vt:i4>
      </vt:variant>
      <vt:variant>
        <vt:lpwstr>https://doi.org/10.1016/j.jtbi.2012.10.033</vt:lpwstr>
      </vt:variant>
      <vt:variant>
        <vt:lpwstr/>
      </vt:variant>
      <vt:variant>
        <vt:i4>2162793</vt:i4>
      </vt:variant>
      <vt:variant>
        <vt:i4>363</vt:i4>
      </vt:variant>
      <vt:variant>
        <vt:i4>0</vt:i4>
      </vt:variant>
      <vt:variant>
        <vt:i4>5</vt:i4>
      </vt:variant>
      <vt:variant>
        <vt:lpwstr>https://doi.org/10.2174/092986612800191080</vt:lpwstr>
      </vt:variant>
      <vt:variant>
        <vt:lpwstr/>
      </vt:variant>
      <vt:variant>
        <vt:i4>655389</vt:i4>
      </vt:variant>
      <vt:variant>
        <vt:i4>360</vt:i4>
      </vt:variant>
      <vt:variant>
        <vt:i4>0</vt:i4>
      </vt:variant>
      <vt:variant>
        <vt:i4>5</vt:i4>
      </vt:variant>
      <vt:variant>
        <vt:lpwstr>https://doi.org/10.1007/s00726-011-0848-8</vt:lpwstr>
      </vt:variant>
      <vt:variant>
        <vt:lpwstr/>
      </vt:variant>
      <vt:variant>
        <vt:i4>6094931</vt:i4>
      </vt:variant>
      <vt:variant>
        <vt:i4>357</vt:i4>
      </vt:variant>
      <vt:variant>
        <vt:i4>0</vt:i4>
      </vt:variant>
      <vt:variant>
        <vt:i4>5</vt:i4>
      </vt:variant>
      <vt:variant>
        <vt:lpwstr>https://doi.org/10.1016/j.compbiomed.2012.01.012</vt:lpwstr>
      </vt:variant>
      <vt:variant>
        <vt:lpwstr/>
      </vt:variant>
      <vt:variant>
        <vt:i4>917528</vt:i4>
      </vt:variant>
      <vt:variant>
        <vt:i4>354</vt:i4>
      </vt:variant>
      <vt:variant>
        <vt:i4>0</vt:i4>
      </vt:variant>
      <vt:variant>
        <vt:i4>5</vt:i4>
      </vt:variant>
      <vt:variant>
        <vt:lpwstr>https://doi.org/10.1007/s00726-011-1114-9</vt:lpwstr>
      </vt:variant>
      <vt:variant>
        <vt:lpwstr/>
      </vt:variant>
      <vt:variant>
        <vt:i4>2949217</vt:i4>
      </vt:variant>
      <vt:variant>
        <vt:i4>351</vt:i4>
      </vt:variant>
      <vt:variant>
        <vt:i4>0</vt:i4>
      </vt:variant>
      <vt:variant>
        <vt:i4>5</vt:i4>
      </vt:variant>
      <vt:variant>
        <vt:lpwstr>https://doi.org/10.2174/092986612799789378</vt:lpwstr>
      </vt:variant>
      <vt:variant>
        <vt:lpwstr/>
      </vt:variant>
      <vt:variant>
        <vt:i4>4718664</vt:i4>
      </vt:variant>
      <vt:variant>
        <vt:i4>348</vt:i4>
      </vt:variant>
      <vt:variant>
        <vt:i4>0</vt:i4>
      </vt:variant>
      <vt:variant>
        <vt:i4>5</vt:i4>
      </vt:variant>
      <vt:variant>
        <vt:lpwstr>https://doi.org/10.1371/journal.pone.0049040</vt:lpwstr>
      </vt:variant>
      <vt:variant>
        <vt:lpwstr/>
      </vt:variant>
      <vt:variant>
        <vt:i4>2490403</vt:i4>
      </vt:variant>
      <vt:variant>
        <vt:i4>345</vt:i4>
      </vt:variant>
      <vt:variant>
        <vt:i4>0</vt:i4>
      </vt:variant>
      <vt:variant>
        <vt:i4>5</vt:i4>
      </vt:variant>
      <vt:variant>
        <vt:lpwstr>https://doi.org/10.1016/j.bbrc.2011.11.057</vt:lpwstr>
      </vt:variant>
      <vt:variant>
        <vt:lpwstr/>
      </vt:variant>
      <vt:variant>
        <vt:i4>720927</vt:i4>
      </vt:variant>
      <vt:variant>
        <vt:i4>342</vt:i4>
      </vt:variant>
      <vt:variant>
        <vt:i4>0</vt:i4>
      </vt:variant>
      <vt:variant>
        <vt:i4>5</vt:i4>
      </vt:variant>
      <vt:variant>
        <vt:lpwstr>https://doi.org/10.1007/s00726-011-1143-4</vt:lpwstr>
      </vt:variant>
      <vt:variant>
        <vt:lpwstr/>
      </vt:variant>
      <vt:variant>
        <vt:i4>3670077</vt:i4>
      </vt:variant>
      <vt:variant>
        <vt:i4>339</vt:i4>
      </vt:variant>
      <vt:variant>
        <vt:i4>0</vt:i4>
      </vt:variant>
      <vt:variant>
        <vt:i4>5</vt:i4>
      </vt:variant>
      <vt:variant>
        <vt:lpwstr>https://doi.org/10.1016/j.jtbi.2012.03.017</vt:lpwstr>
      </vt:variant>
      <vt:variant>
        <vt:lpwstr/>
      </vt:variant>
      <vt:variant>
        <vt:i4>851984</vt:i4>
      </vt:variant>
      <vt:variant>
        <vt:i4>336</vt:i4>
      </vt:variant>
      <vt:variant>
        <vt:i4>0</vt:i4>
      </vt:variant>
      <vt:variant>
        <vt:i4>5</vt:i4>
      </vt:variant>
      <vt:variant>
        <vt:lpwstr>https://doi.org/10.1007/s00726-010-0825-7</vt:lpwstr>
      </vt:variant>
      <vt:variant>
        <vt:lpwstr/>
      </vt:variant>
      <vt:variant>
        <vt:i4>2752620</vt:i4>
      </vt:variant>
      <vt:variant>
        <vt:i4>333</vt:i4>
      </vt:variant>
      <vt:variant>
        <vt:i4>0</vt:i4>
      </vt:variant>
      <vt:variant>
        <vt:i4>5</vt:i4>
      </vt:variant>
      <vt:variant>
        <vt:lpwstr>https://doi.org/10.2174/092986612803216999</vt:lpwstr>
      </vt:variant>
      <vt:variant>
        <vt:lpwstr/>
      </vt:variant>
      <vt:variant>
        <vt:i4>6160469</vt:i4>
      </vt:variant>
      <vt:variant>
        <vt:i4>330</vt:i4>
      </vt:variant>
      <vt:variant>
        <vt:i4>0</vt:i4>
      </vt:variant>
      <vt:variant>
        <vt:i4>5</vt:i4>
      </vt:variant>
      <vt:variant>
        <vt:lpwstr>https://doi.org/10.1002/jcc.21616</vt:lpwstr>
      </vt:variant>
      <vt:variant>
        <vt:lpwstr/>
      </vt:variant>
      <vt:variant>
        <vt:i4>2949228</vt:i4>
      </vt:variant>
      <vt:variant>
        <vt:i4>327</vt:i4>
      </vt:variant>
      <vt:variant>
        <vt:i4>0</vt:i4>
      </vt:variant>
      <vt:variant>
        <vt:i4>5</vt:i4>
      </vt:variant>
      <vt:variant>
        <vt:lpwstr>https://doi.org/10.1039/C0MB00170H</vt:lpwstr>
      </vt:variant>
      <vt:variant>
        <vt:lpwstr/>
      </vt:variant>
      <vt:variant>
        <vt:i4>2949220</vt:i4>
      </vt:variant>
      <vt:variant>
        <vt:i4>324</vt:i4>
      </vt:variant>
      <vt:variant>
        <vt:i4>0</vt:i4>
      </vt:variant>
      <vt:variant>
        <vt:i4>5</vt:i4>
      </vt:variant>
      <vt:variant>
        <vt:lpwstr>https://doi.org/10.2174/1574893611106020251</vt:lpwstr>
      </vt:variant>
      <vt:variant>
        <vt:lpwstr/>
      </vt:variant>
      <vt:variant>
        <vt:i4>3080289</vt:i4>
      </vt:variant>
      <vt:variant>
        <vt:i4>321</vt:i4>
      </vt:variant>
      <vt:variant>
        <vt:i4>0</vt:i4>
      </vt:variant>
      <vt:variant>
        <vt:i4>5</vt:i4>
      </vt:variant>
      <vt:variant>
        <vt:lpwstr>https://doi.org/10.2174/092986611794927947</vt:lpwstr>
      </vt:variant>
      <vt:variant>
        <vt:lpwstr/>
      </vt:variant>
      <vt:variant>
        <vt:i4>2293857</vt:i4>
      </vt:variant>
      <vt:variant>
        <vt:i4>318</vt:i4>
      </vt:variant>
      <vt:variant>
        <vt:i4>0</vt:i4>
      </vt:variant>
      <vt:variant>
        <vt:i4>5</vt:i4>
      </vt:variant>
      <vt:variant>
        <vt:lpwstr>https://doi.org/10.2174/092986611795446085</vt:lpwstr>
      </vt:variant>
      <vt:variant>
        <vt:lpwstr/>
      </vt:variant>
      <vt:variant>
        <vt:i4>3080301</vt:i4>
      </vt:variant>
      <vt:variant>
        <vt:i4>315</vt:i4>
      </vt:variant>
      <vt:variant>
        <vt:i4>0</vt:i4>
      </vt:variant>
      <vt:variant>
        <vt:i4>5</vt:i4>
      </vt:variant>
      <vt:variant>
        <vt:lpwstr>https://doi.org/10.2174/092986611795222768</vt:lpwstr>
      </vt:variant>
      <vt:variant>
        <vt:lpwstr/>
      </vt:variant>
      <vt:variant>
        <vt:i4>2293819</vt:i4>
      </vt:variant>
      <vt:variant>
        <vt:i4>312</vt:i4>
      </vt:variant>
      <vt:variant>
        <vt:i4>0</vt:i4>
      </vt:variant>
      <vt:variant>
        <vt:i4>5</vt:i4>
      </vt:variant>
      <vt:variant>
        <vt:lpwstr>https://doi.org/10.1016/j.jmgm.2011.06.014</vt:lpwstr>
      </vt:variant>
      <vt:variant>
        <vt:lpwstr/>
      </vt:variant>
      <vt:variant>
        <vt:i4>4259923</vt:i4>
      </vt:variant>
      <vt:variant>
        <vt:i4>309</vt:i4>
      </vt:variant>
      <vt:variant>
        <vt:i4>0</vt:i4>
      </vt:variant>
      <vt:variant>
        <vt:i4>5</vt:i4>
      </vt:variant>
      <vt:variant>
        <vt:lpwstr>https://doi.org/10.1016/j.biochi.2011.03.010</vt:lpwstr>
      </vt:variant>
      <vt:variant>
        <vt:lpwstr/>
      </vt:variant>
      <vt:variant>
        <vt:i4>327704</vt:i4>
      </vt:variant>
      <vt:variant>
        <vt:i4>306</vt:i4>
      </vt:variant>
      <vt:variant>
        <vt:i4>0</vt:i4>
      </vt:variant>
      <vt:variant>
        <vt:i4>5</vt:i4>
      </vt:variant>
      <vt:variant>
        <vt:lpwstr>https://doi.org/10.1007/s10969-011-9120-4</vt:lpwstr>
      </vt:variant>
      <vt:variant>
        <vt:lpwstr/>
      </vt:variant>
      <vt:variant>
        <vt:i4>4128830</vt:i4>
      </vt:variant>
      <vt:variant>
        <vt:i4>303</vt:i4>
      </vt:variant>
      <vt:variant>
        <vt:i4>0</vt:i4>
      </vt:variant>
      <vt:variant>
        <vt:i4>5</vt:i4>
      </vt:variant>
      <vt:variant>
        <vt:lpwstr>https://doi.org/10.1016/j.jtbi.2011.04.017</vt:lpwstr>
      </vt:variant>
      <vt:variant>
        <vt:lpwstr/>
      </vt:variant>
      <vt:variant>
        <vt:i4>3473467</vt:i4>
      </vt:variant>
      <vt:variant>
        <vt:i4>300</vt:i4>
      </vt:variant>
      <vt:variant>
        <vt:i4>0</vt:i4>
      </vt:variant>
      <vt:variant>
        <vt:i4>5</vt:i4>
      </vt:variant>
      <vt:variant>
        <vt:lpwstr>https://doi.org/10.1016/j.jtbi.2011.01.048</vt:lpwstr>
      </vt:variant>
      <vt:variant>
        <vt:lpwstr/>
      </vt:variant>
      <vt:variant>
        <vt:i4>2359398</vt:i4>
      </vt:variant>
      <vt:variant>
        <vt:i4>297</vt:i4>
      </vt:variant>
      <vt:variant>
        <vt:i4>0</vt:i4>
      </vt:variant>
      <vt:variant>
        <vt:i4>5</vt:i4>
      </vt:variant>
      <vt:variant>
        <vt:lpwstr>https://doi.org/10.2174/092986611797642797</vt:lpwstr>
      </vt:variant>
      <vt:variant>
        <vt:lpwstr/>
      </vt:variant>
      <vt:variant>
        <vt:i4>3473470</vt:i4>
      </vt:variant>
      <vt:variant>
        <vt:i4>294</vt:i4>
      </vt:variant>
      <vt:variant>
        <vt:i4>0</vt:i4>
      </vt:variant>
      <vt:variant>
        <vt:i4>5</vt:i4>
      </vt:variant>
      <vt:variant>
        <vt:lpwstr>https://doi.org/10.1016/j.jtbi.2010.10.019</vt:lpwstr>
      </vt:variant>
      <vt:variant>
        <vt:lpwstr/>
      </vt:variant>
      <vt:variant>
        <vt:i4>3735615</vt:i4>
      </vt:variant>
      <vt:variant>
        <vt:i4>291</vt:i4>
      </vt:variant>
      <vt:variant>
        <vt:i4>0</vt:i4>
      </vt:variant>
      <vt:variant>
        <vt:i4>5</vt:i4>
      </vt:variant>
      <vt:variant>
        <vt:lpwstr>https://doi.org/10.1016/j.jtbi.2011.06.003</vt:lpwstr>
      </vt:variant>
      <vt:variant>
        <vt:lpwstr/>
      </vt:variant>
      <vt:variant>
        <vt:i4>3866685</vt:i4>
      </vt:variant>
      <vt:variant>
        <vt:i4>288</vt:i4>
      </vt:variant>
      <vt:variant>
        <vt:i4>0</vt:i4>
      </vt:variant>
      <vt:variant>
        <vt:i4>5</vt:i4>
      </vt:variant>
      <vt:variant>
        <vt:lpwstr>https://doi.org/10.1016/j.jtbi.2010.10.027</vt:lpwstr>
      </vt:variant>
      <vt:variant>
        <vt:lpwstr/>
      </vt:variant>
      <vt:variant>
        <vt:i4>2228322</vt:i4>
      </vt:variant>
      <vt:variant>
        <vt:i4>285</vt:i4>
      </vt:variant>
      <vt:variant>
        <vt:i4>0</vt:i4>
      </vt:variant>
      <vt:variant>
        <vt:i4>5</vt:i4>
      </vt:variant>
      <vt:variant>
        <vt:lpwstr>https://doi.org/10.2174/092986611795222795</vt:lpwstr>
      </vt:variant>
      <vt:variant>
        <vt:lpwstr/>
      </vt:variant>
      <vt:variant>
        <vt:i4>3801150</vt:i4>
      </vt:variant>
      <vt:variant>
        <vt:i4>282</vt:i4>
      </vt:variant>
      <vt:variant>
        <vt:i4>0</vt:i4>
      </vt:variant>
      <vt:variant>
        <vt:i4>5</vt:i4>
      </vt:variant>
      <vt:variant>
        <vt:lpwstr>https://doi.org/10.1016/j.jtbi.2010.11.017</vt:lpwstr>
      </vt:variant>
      <vt:variant>
        <vt:lpwstr/>
      </vt:variant>
      <vt:variant>
        <vt:i4>5963860</vt:i4>
      </vt:variant>
      <vt:variant>
        <vt:i4>279</vt:i4>
      </vt:variant>
      <vt:variant>
        <vt:i4>0</vt:i4>
      </vt:variant>
      <vt:variant>
        <vt:i4>5</vt:i4>
      </vt:variant>
      <vt:variant>
        <vt:lpwstr>https://doi.org/10.1002/jcc.21740</vt:lpwstr>
      </vt:variant>
      <vt:variant>
        <vt:lpwstr/>
      </vt:variant>
      <vt:variant>
        <vt:i4>3801149</vt:i4>
      </vt:variant>
      <vt:variant>
        <vt:i4>276</vt:i4>
      </vt:variant>
      <vt:variant>
        <vt:i4>0</vt:i4>
      </vt:variant>
      <vt:variant>
        <vt:i4>5</vt:i4>
      </vt:variant>
      <vt:variant>
        <vt:lpwstr>https://doi.org/10.1016/j.jtbi.2010.12.024</vt:lpwstr>
      </vt:variant>
      <vt:variant>
        <vt:lpwstr/>
      </vt:variant>
      <vt:variant>
        <vt:i4>3473470</vt:i4>
      </vt:variant>
      <vt:variant>
        <vt:i4>273</vt:i4>
      </vt:variant>
      <vt:variant>
        <vt:i4>0</vt:i4>
      </vt:variant>
      <vt:variant>
        <vt:i4>5</vt:i4>
      </vt:variant>
      <vt:variant>
        <vt:lpwstr>https://doi.org/10.1016/j.jtbi.2010.08.001</vt:lpwstr>
      </vt:variant>
      <vt:variant>
        <vt:lpwstr/>
      </vt:variant>
      <vt:variant>
        <vt:i4>262173</vt:i4>
      </vt:variant>
      <vt:variant>
        <vt:i4>270</vt:i4>
      </vt:variant>
      <vt:variant>
        <vt:i4>0</vt:i4>
      </vt:variant>
      <vt:variant>
        <vt:i4>5</vt:i4>
      </vt:variant>
      <vt:variant>
        <vt:lpwstr>https://doi.org/10.1007/s10930-009-9222-z</vt:lpwstr>
      </vt:variant>
      <vt:variant>
        <vt:lpwstr/>
      </vt:variant>
      <vt:variant>
        <vt:i4>2097262</vt:i4>
      </vt:variant>
      <vt:variant>
        <vt:i4>267</vt:i4>
      </vt:variant>
      <vt:variant>
        <vt:i4>0</vt:i4>
      </vt:variant>
      <vt:variant>
        <vt:i4>5</vt:i4>
      </vt:variant>
      <vt:variant>
        <vt:lpwstr>https://doi.org/10.2174/0929866511009011441</vt:lpwstr>
      </vt:variant>
      <vt:variant>
        <vt:lpwstr/>
      </vt:variant>
      <vt:variant>
        <vt:i4>3014764</vt:i4>
      </vt:variant>
      <vt:variant>
        <vt:i4>264</vt:i4>
      </vt:variant>
      <vt:variant>
        <vt:i4>0</vt:i4>
      </vt:variant>
      <vt:variant>
        <vt:i4>5</vt:i4>
      </vt:variant>
      <vt:variant>
        <vt:lpwstr>https://doi.org/10.2174/092986610791190372</vt:lpwstr>
      </vt:variant>
      <vt:variant>
        <vt:lpwstr/>
      </vt:variant>
      <vt:variant>
        <vt:i4>2228334</vt:i4>
      </vt:variant>
      <vt:variant>
        <vt:i4>261</vt:i4>
      </vt:variant>
      <vt:variant>
        <vt:i4>0</vt:i4>
      </vt:variant>
      <vt:variant>
        <vt:i4>5</vt:i4>
      </vt:variant>
      <vt:variant>
        <vt:lpwstr>https://doi.org/10.2174/0929866511009011466</vt:lpwstr>
      </vt:variant>
      <vt:variant>
        <vt:lpwstr/>
      </vt:variant>
      <vt:variant>
        <vt:i4>2556015</vt:i4>
      </vt:variant>
      <vt:variant>
        <vt:i4>258</vt:i4>
      </vt:variant>
      <vt:variant>
        <vt:i4>0</vt:i4>
      </vt:variant>
      <vt:variant>
        <vt:i4>5</vt:i4>
      </vt:variant>
      <vt:variant>
        <vt:lpwstr>https://doi.org/10.2174/092986610792231564</vt:lpwstr>
      </vt:variant>
      <vt:variant>
        <vt:lpwstr/>
      </vt:variant>
      <vt:variant>
        <vt:i4>2818155</vt:i4>
      </vt:variant>
      <vt:variant>
        <vt:i4>255</vt:i4>
      </vt:variant>
      <vt:variant>
        <vt:i4>0</vt:i4>
      </vt:variant>
      <vt:variant>
        <vt:i4>5</vt:i4>
      </vt:variant>
      <vt:variant>
        <vt:lpwstr>https://doi.org/10.2174/092986610792231528</vt:lpwstr>
      </vt:variant>
      <vt:variant>
        <vt:lpwstr/>
      </vt:variant>
      <vt:variant>
        <vt:i4>4325467</vt:i4>
      </vt:variant>
      <vt:variant>
        <vt:i4>252</vt:i4>
      </vt:variant>
      <vt:variant>
        <vt:i4>0</vt:i4>
      </vt:variant>
      <vt:variant>
        <vt:i4>5</vt:i4>
      </vt:variant>
      <vt:variant>
        <vt:lpwstr>https://doi.org/10.1016/j.ab.2009.10.040</vt:lpwstr>
      </vt:variant>
      <vt:variant>
        <vt:lpwstr/>
      </vt:variant>
      <vt:variant>
        <vt:i4>3801143</vt:i4>
      </vt:variant>
      <vt:variant>
        <vt:i4>249</vt:i4>
      </vt:variant>
      <vt:variant>
        <vt:i4>0</vt:i4>
      </vt:variant>
      <vt:variant>
        <vt:i4>5</vt:i4>
      </vt:variant>
      <vt:variant>
        <vt:lpwstr>https://doi.org/10.1016/j.jtbi.2009.11.016</vt:lpwstr>
      </vt:variant>
      <vt:variant>
        <vt:lpwstr/>
      </vt:variant>
      <vt:variant>
        <vt:i4>3538997</vt:i4>
      </vt:variant>
      <vt:variant>
        <vt:i4>246</vt:i4>
      </vt:variant>
      <vt:variant>
        <vt:i4>0</vt:i4>
      </vt:variant>
      <vt:variant>
        <vt:i4>5</vt:i4>
      </vt:variant>
      <vt:variant>
        <vt:lpwstr>https://doi.org/10.1016/j.jtbi.2009.03.028</vt:lpwstr>
      </vt:variant>
      <vt:variant>
        <vt:lpwstr/>
      </vt:variant>
      <vt:variant>
        <vt:i4>1507344</vt:i4>
      </vt:variant>
      <vt:variant>
        <vt:i4>243</vt:i4>
      </vt:variant>
      <vt:variant>
        <vt:i4>0</vt:i4>
      </vt:variant>
      <vt:variant>
        <vt:i4>5</vt:i4>
      </vt:variant>
      <vt:variant>
        <vt:lpwstr>https://doi.org/10.1107/S0021889809002751</vt:lpwstr>
      </vt:variant>
      <vt:variant>
        <vt:lpwstr/>
      </vt:variant>
      <vt:variant>
        <vt:i4>5177438</vt:i4>
      </vt:variant>
      <vt:variant>
        <vt:i4>240</vt:i4>
      </vt:variant>
      <vt:variant>
        <vt:i4>0</vt:i4>
      </vt:variant>
      <vt:variant>
        <vt:i4>5</vt:i4>
      </vt:variant>
      <vt:variant>
        <vt:lpwstr>https://doi.org/10.1016/j.ab.2009.04.009</vt:lpwstr>
      </vt:variant>
      <vt:variant>
        <vt:lpwstr/>
      </vt:variant>
      <vt:variant>
        <vt:i4>29</vt:i4>
      </vt:variant>
      <vt:variant>
        <vt:i4>237</vt:i4>
      </vt:variant>
      <vt:variant>
        <vt:i4>0</vt:i4>
      </vt:variant>
      <vt:variant>
        <vt:i4>5</vt:i4>
      </vt:variant>
      <vt:variant>
        <vt:lpwstr>https://doi.org/10.1007/s00726-008-0170-2</vt:lpwstr>
      </vt:variant>
      <vt:variant>
        <vt:lpwstr/>
      </vt:variant>
      <vt:variant>
        <vt:i4>4128823</vt:i4>
      </vt:variant>
      <vt:variant>
        <vt:i4>234</vt:i4>
      </vt:variant>
      <vt:variant>
        <vt:i4>0</vt:i4>
      </vt:variant>
      <vt:variant>
        <vt:i4>5</vt:i4>
      </vt:variant>
      <vt:variant>
        <vt:lpwstr>https://doi.org/10.1016/j.jtbi.2008.11.003</vt:lpwstr>
      </vt:variant>
      <vt:variant>
        <vt:lpwstr/>
      </vt:variant>
      <vt:variant>
        <vt:i4>4915295</vt:i4>
      </vt:variant>
      <vt:variant>
        <vt:i4>231</vt:i4>
      </vt:variant>
      <vt:variant>
        <vt:i4>0</vt:i4>
      </vt:variant>
      <vt:variant>
        <vt:i4>5</vt:i4>
      </vt:variant>
      <vt:variant>
        <vt:lpwstr>https://doi.org/10.1016/j.ab.2009.01.018</vt:lpwstr>
      </vt:variant>
      <vt:variant>
        <vt:lpwstr/>
      </vt:variant>
      <vt:variant>
        <vt:i4>2097254</vt:i4>
      </vt:variant>
      <vt:variant>
        <vt:i4>228</vt:i4>
      </vt:variant>
      <vt:variant>
        <vt:i4>0</vt:i4>
      </vt:variant>
      <vt:variant>
        <vt:i4>5</vt:i4>
      </vt:variant>
      <vt:variant>
        <vt:lpwstr>https://doi.org/10.2174/092986609787848045</vt:lpwstr>
      </vt:variant>
      <vt:variant>
        <vt:lpwstr/>
      </vt:variant>
      <vt:variant>
        <vt:i4>2162793</vt:i4>
      </vt:variant>
      <vt:variant>
        <vt:i4>225</vt:i4>
      </vt:variant>
      <vt:variant>
        <vt:i4>0</vt:i4>
      </vt:variant>
      <vt:variant>
        <vt:i4>5</vt:i4>
      </vt:variant>
      <vt:variant>
        <vt:lpwstr>https://doi.org/10.2174/092986609787049420</vt:lpwstr>
      </vt:variant>
      <vt:variant>
        <vt:lpwstr/>
      </vt:variant>
      <vt:variant>
        <vt:i4>3145784</vt:i4>
      </vt:variant>
      <vt:variant>
        <vt:i4>222</vt:i4>
      </vt:variant>
      <vt:variant>
        <vt:i4>0</vt:i4>
      </vt:variant>
      <vt:variant>
        <vt:i4>5</vt:i4>
      </vt:variant>
      <vt:variant>
        <vt:lpwstr>https://doi.org/10.1016/j.jtbi.2007.09.014</vt:lpwstr>
      </vt:variant>
      <vt:variant>
        <vt:lpwstr/>
      </vt:variant>
      <vt:variant>
        <vt:i4>589852</vt:i4>
      </vt:variant>
      <vt:variant>
        <vt:i4>219</vt:i4>
      </vt:variant>
      <vt:variant>
        <vt:i4>0</vt:i4>
      </vt:variant>
      <vt:variant>
        <vt:i4>5</vt:i4>
      </vt:variant>
      <vt:variant>
        <vt:lpwstr>https://doi.org/10.1007/s00726-007-0010-9</vt:lpwstr>
      </vt:variant>
      <vt:variant>
        <vt:lpwstr/>
      </vt:variant>
      <vt:variant>
        <vt:i4>983066</vt:i4>
      </vt:variant>
      <vt:variant>
        <vt:i4>216</vt:i4>
      </vt:variant>
      <vt:variant>
        <vt:i4>0</vt:i4>
      </vt:variant>
      <vt:variant>
        <vt:i4>5</vt:i4>
      </vt:variant>
      <vt:variant>
        <vt:lpwstr>https://doi.org/10.1007/s00726-008-0086-x</vt:lpwstr>
      </vt:variant>
      <vt:variant>
        <vt:lpwstr/>
      </vt:variant>
      <vt:variant>
        <vt:i4>2228330</vt:i4>
      </vt:variant>
      <vt:variant>
        <vt:i4>213</vt:i4>
      </vt:variant>
      <vt:variant>
        <vt:i4>0</vt:i4>
      </vt:variant>
      <vt:variant>
        <vt:i4>5</vt:i4>
      </vt:variant>
      <vt:variant>
        <vt:lpwstr>https://doi.org/10.2174/092986608786071184</vt:lpwstr>
      </vt:variant>
      <vt:variant>
        <vt:lpwstr/>
      </vt:variant>
      <vt:variant>
        <vt:i4>3866679</vt:i4>
      </vt:variant>
      <vt:variant>
        <vt:i4>210</vt:i4>
      </vt:variant>
      <vt:variant>
        <vt:i4>0</vt:i4>
      </vt:variant>
      <vt:variant>
        <vt:i4>5</vt:i4>
      </vt:variant>
      <vt:variant>
        <vt:lpwstr>https://doi.org/10.1016/j.jtbi.2008.03.015</vt:lpwstr>
      </vt:variant>
      <vt:variant>
        <vt:lpwstr/>
      </vt:variant>
      <vt:variant>
        <vt:i4>3997751</vt:i4>
      </vt:variant>
      <vt:variant>
        <vt:i4>207</vt:i4>
      </vt:variant>
      <vt:variant>
        <vt:i4>0</vt:i4>
      </vt:variant>
      <vt:variant>
        <vt:i4>5</vt:i4>
      </vt:variant>
      <vt:variant>
        <vt:lpwstr>https://doi.org/10.1016/j.jtbi.2008.06.016</vt:lpwstr>
      </vt:variant>
      <vt:variant>
        <vt:lpwstr/>
      </vt:variant>
      <vt:variant>
        <vt:i4>5963866</vt:i4>
      </vt:variant>
      <vt:variant>
        <vt:i4>204</vt:i4>
      </vt:variant>
      <vt:variant>
        <vt:i4>0</vt:i4>
      </vt:variant>
      <vt:variant>
        <vt:i4>5</vt:i4>
      </vt:variant>
      <vt:variant>
        <vt:lpwstr>https://doi.org/10.1002/jcc.20955</vt:lpwstr>
      </vt:variant>
      <vt:variant>
        <vt:lpwstr/>
      </vt:variant>
      <vt:variant>
        <vt:i4>589844</vt:i4>
      </vt:variant>
      <vt:variant>
        <vt:i4>201</vt:i4>
      </vt:variant>
      <vt:variant>
        <vt:i4>0</vt:i4>
      </vt:variant>
      <vt:variant>
        <vt:i4>5</vt:i4>
      </vt:variant>
      <vt:variant>
        <vt:lpwstr>https://doi.org/10.1007/s00726-007-0018-1</vt:lpwstr>
      </vt:variant>
      <vt:variant>
        <vt:lpwstr/>
      </vt:variant>
      <vt:variant>
        <vt:i4>2556009</vt:i4>
      </vt:variant>
      <vt:variant>
        <vt:i4>198</vt:i4>
      </vt:variant>
      <vt:variant>
        <vt:i4>0</vt:i4>
      </vt:variant>
      <vt:variant>
        <vt:i4>5</vt:i4>
      </vt:variant>
      <vt:variant>
        <vt:lpwstr>https://doi.org/10.2174/092986608785133681</vt:lpwstr>
      </vt:variant>
      <vt:variant>
        <vt:lpwstr/>
      </vt:variant>
      <vt:variant>
        <vt:i4>3866678</vt:i4>
      </vt:variant>
      <vt:variant>
        <vt:i4>195</vt:i4>
      </vt:variant>
      <vt:variant>
        <vt:i4>0</vt:i4>
      </vt:variant>
      <vt:variant>
        <vt:i4>5</vt:i4>
      </vt:variant>
      <vt:variant>
        <vt:lpwstr>https://doi.org/10.1016/j.jtbi.2008.02.004</vt:lpwstr>
      </vt:variant>
      <vt:variant>
        <vt:lpwstr/>
      </vt:variant>
      <vt:variant>
        <vt:i4>2949231</vt:i4>
      </vt:variant>
      <vt:variant>
        <vt:i4>192</vt:i4>
      </vt:variant>
      <vt:variant>
        <vt:i4>0</vt:i4>
      </vt:variant>
      <vt:variant>
        <vt:i4>5</vt:i4>
      </vt:variant>
      <vt:variant>
        <vt:lpwstr>https://doi.org/10.2174/092986608784966930</vt:lpwstr>
      </vt:variant>
      <vt:variant>
        <vt:lpwstr/>
      </vt:variant>
      <vt:variant>
        <vt:i4>786460</vt:i4>
      </vt:variant>
      <vt:variant>
        <vt:i4>189</vt:i4>
      </vt:variant>
      <vt:variant>
        <vt:i4>0</vt:i4>
      </vt:variant>
      <vt:variant>
        <vt:i4>5</vt:i4>
      </vt:variant>
      <vt:variant>
        <vt:lpwstr>https://doi.org/10.1007/s00726-007-0545-9</vt:lpwstr>
      </vt:variant>
      <vt:variant>
        <vt:lpwstr/>
      </vt:variant>
      <vt:variant>
        <vt:i4>262168</vt:i4>
      </vt:variant>
      <vt:variant>
        <vt:i4>186</vt:i4>
      </vt:variant>
      <vt:variant>
        <vt:i4>0</vt:i4>
      </vt:variant>
      <vt:variant>
        <vt:i4>5</vt:i4>
      </vt:variant>
      <vt:variant>
        <vt:lpwstr>https://doi.org/10.1007/s00726-008-0034-9</vt:lpwstr>
      </vt:variant>
      <vt:variant>
        <vt:lpwstr/>
      </vt:variant>
      <vt:variant>
        <vt:i4>2162787</vt:i4>
      </vt:variant>
      <vt:variant>
        <vt:i4>183</vt:i4>
      </vt:variant>
      <vt:variant>
        <vt:i4>0</vt:i4>
      </vt:variant>
      <vt:variant>
        <vt:i4>5</vt:i4>
      </vt:variant>
      <vt:variant>
        <vt:lpwstr>https://doi.org/10.2174/092986608784246443</vt:lpwstr>
      </vt:variant>
      <vt:variant>
        <vt:lpwstr/>
      </vt:variant>
      <vt:variant>
        <vt:i4>917521</vt:i4>
      </vt:variant>
      <vt:variant>
        <vt:i4>180</vt:i4>
      </vt:variant>
      <vt:variant>
        <vt:i4>0</vt:i4>
      </vt:variant>
      <vt:variant>
        <vt:i4>5</vt:i4>
      </vt:variant>
      <vt:variant>
        <vt:lpwstr>https://doi.org/10.1007/s00726-007-0568-2</vt:lpwstr>
      </vt:variant>
      <vt:variant>
        <vt:lpwstr/>
      </vt:variant>
      <vt:variant>
        <vt:i4>5308511</vt:i4>
      </vt:variant>
      <vt:variant>
        <vt:i4>177</vt:i4>
      </vt:variant>
      <vt:variant>
        <vt:i4>0</vt:i4>
      </vt:variant>
      <vt:variant>
        <vt:i4>5</vt:i4>
      </vt:variant>
      <vt:variant>
        <vt:lpwstr>https://doi.org/10.1016/j.patrec.2008.06.007</vt:lpwstr>
      </vt:variant>
      <vt:variant>
        <vt:lpwstr/>
      </vt:variant>
      <vt:variant>
        <vt:i4>851993</vt:i4>
      </vt:variant>
      <vt:variant>
        <vt:i4>174</vt:i4>
      </vt:variant>
      <vt:variant>
        <vt:i4>0</vt:i4>
      </vt:variant>
      <vt:variant>
        <vt:i4>5</vt:i4>
      </vt:variant>
      <vt:variant>
        <vt:lpwstr>https://doi.org/10.1007/s00726-007-0550-z</vt:lpwstr>
      </vt:variant>
      <vt:variant>
        <vt:lpwstr/>
      </vt:variant>
      <vt:variant>
        <vt:i4>3801145</vt:i4>
      </vt:variant>
      <vt:variant>
        <vt:i4>171</vt:i4>
      </vt:variant>
      <vt:variant>
        <vt:i4>0</vt:i4>
      </vt:variant>
      <vt:variant>
        <vt:i4>5</vt:i4>
      </vt:variant>
      <vt:variant>
        <vt:lpwstr>https://doi.org/10.1016/j.jtbi.2007.06.001</vt:lpwstr>
      </vt:variant>
      <vt:variant>
        <vt:lpwstr/>
      </vt:variant>
      <vt:variant>
        <vt:i4>65566</vt:i4>
      </vt:variant>
      <vt:variant>
        <vt:i4>168</vt:i4>
      </vt:variant>
      <vt:variant>
        <vt:i4>0</vt:i4>
      </vt:variant>
      <vt:variant>
        <vt:i4>5</vt:i4>
      </vt:variant>
      <vt:variant>
        <vt:lpwstr>https://doi.org/10.1007/s00726-007-0496-1</vt:lpwstr>
      </vt:variant>
      <vt:variant>
        <vt:lpwstr/>
      </vt:variant>
      <vt:variant>
        <vt:i4>917533</vt:i4>
      </vt:variant>
      <vt:variant>
        <vt:i4>165</vt:i4>
      </vt:variant>
      <vt:variant>
        <vt:i4>0</vt:i4>
      </vt:variant>
      <vt:variant>
        <vt:i4>5</vt:i4>
      </vt:variant>
      <vt:variant>
        <vt:lpwstr>https://doi.org/10.1007/s00726-006-0475-y</vt:lpwstr>
      </vt:variant>
      <vt:variant>
        <vt:lpwstr/>
      </vt:variant>
      <vt:variant>
        <vt:i4>5570640</vt:i4>
      </vt:variant>
      <vt:variant>
        <vt:i4>162</vt:i4>
      </vt:variant>
      <vt:variant>
        <vt:i4>0</vt:i4>
      </vt:variant>
      <vt:variant>
        <vt:i4>5</vt:i4>
      </vt:variant>
      <vt:variant>
        <vt:lpwstr>https://doi.org/10.1016/j.patrec.2007.04.001</vt:lpwstr>
      </vt:variant>
      <vt:variant>
        <vt:lpwstr/>
      </vt:variant>
      <vt:variant>
        <vt:i4>5963862</vt:i4>
      </vt:variant>
      <vt:variant>
        <vt:i4>159</vt:i4>
      </vt:variant>
      <vt:variant>
        <vt:i4>0</vt:i4>
      </vt:variant>
      <vt:variant>
        <vt:i4>5</vt:i4>
      </vt:variant>
      <vt:variant>
        <vt:lpwstr>https://doi.org/10.1002/jcc.20554</vt:lpwstr>
      </vt:variant>
      <vt:variant>
        <vt:lpwstr/>
      </vt:variant>
      <vt:variant>
        <vt:i4>2162720</vt:i4>
      </vt:variant>
      <vt:variant>
        <vt:i4>156</vt:i4>
      </vt:variant>
      <vt:variant>
        <vt:i4>0</vt:i4>
      </vt:variant>
      <vt:variant>
        <vt:i4>5</vt:i4>
      </vt:variant>
      <vt:variant>
        <vt:lpwstr>https://doi.org/10.1016/j.bbrc.2007.01.011</vt:lpwstr>
      </vt:variant>
      <vt:variant>
        <vt:lpwstr/>
      </vt:variant>
      <vt:variant>
        <vt:i4>2097260</vt:i4>
      </vt:variant>
      <vt:variant>
        <vt:i4>153</vt:i4>
      </vt:variant>
      <vt:variant>
        <vt:i4>0</vt:i4>
      </vt:variant>
      <vt:variant>
        <vt:i4>5</vt:i4>
      </vt:variant>
      <vt:variant>
        <vt:lpwstr>https://doi.org/10.2174/092986607781483778</vt:lpwstr>
      </vt:variant>
      <vt:variant>
        <vt:lpwstr/>
      </vt:variant>
      <vt:variant>
        <vt:i4>3211320</vt:i4>
      </vt:variant>
      <vt:variant>
        <vt:i4>150</vt:i4>
      </vt:variant>
      <vt:variant>
        <vt:i4>0</vt:i4>
      </vt:variant>
      <vt:variant>
        <vt:i4>5</vt:i4>
      </vt:variant>
      <vt:variant>
        <vt:lpwstr>https://doi.org/10.1016/j.jtbi.2007.05.019</vt:lpwstr>
      </vt:variant>
      <vt:variant>
        <vt:lpwstr/>
      </vt:variant>
      <vt:variant>
        <vt:i4>2556000</vt:i4>
      </vt:variant>
      <vt:variant>
        <vt:i4>147</vt:i4>
      </vt:variant>
      <vt:variant>
        <vt:i4>0</vt:i4>
      </vt:variant>
      <vt:variant>
        <vt:i4>5</vt:i4>
      </vt:variant>
      <vt:variant>
        <vt:lpwstr>https://doi.org/10.1002/prot.20898</vt:lpwstr>
      </vt:variant>
      <vt:variant>
        <vt:lpwstr/>
      </vt:variant>
      <vt:variant>
        <vt:i4>5963856</vt:i4>
      </vt:variant>
      <vt:variant>
        <vt:i4>144</vt:i4>
      </vt:variant>
      <vt:variant>
        <vt:i4>0</vt:i4>
      </vt:variant>
      <vt:variant>
        <vt:i4>5</vt:i4>
      </vt:variant>
      <vt:variant>
        <vt:lpwstr>https://doi.org/10.1002/jcc.20354</vt:lpwstr>
      </vt:variant>
      <vt:variant>
        <vt:lpwstr/>
      </vt:variant>
      <vt:variant>
        <vt:i4>524315</vt:i4>
      </vt:variant>
      <vt:variant>
        <vt:i4>141</vt:i4>
      </vt:variant>
      <vt:variant>
        <vt:i4>0</vt:i4>
      </vt:variant>
      <vt:variant>
        <vt:i4>5</vt:i4>
      </vt:variant>
      <vt:variant>
        <vt:lpwstr>https://doi.org/10.1007/s00726-005-0225-6</vt:lpwstr>
      </vt:variant>
      <vt:variant>
        <vt:lpwstr/>
      </vt:variant>
      <vt:variant>
        <vt:i4>4063288</vt:i4>
      </vt:variant>
      <vt:variant>
        <vt:i4>138</vt:i4>
      </vt:variant>
      <vt:variant>
        <vt:i4>0</vt:i4>
      </vt:variant>
      <vt:variant>
        <vt:i4>5</vt:i4>
      </vt:variant>
      <vt:variant>
        <vt:lpwstr>https://doi.org/10.1016/j.jtbi.2006.05.006</vt:lpwstr>
      </vt:variant>
      <vt:variant>
        <vt:lpwstr/>
      </vt:variant>
      <vt:variant>
        <vt:i4>3342394</vt:i4>
      </vt:variant>
      <vt:variant>
        <vt:i4>135</vt:i4>
      </vt:variant>
      <vt:variant>
        <vt:i4>0</vt:i4>
      </vt:variant>
      <vt:variant>
        <vt:i4>5</vt:i4>
      </vt:variant>
      <vt:variant>
        <vt:lpwstr>https://doi.org/10.1016/j.jtbi.2005.08.016</vt:lpwstr>
      </vt:variant>
      <vt:variant>
        <vt:lpwstr/>
      </vt:variant>
      <vt:variant>
        <vt:i4>4128825</vt:i4>
      </vt:variant>
      <vt:variant>
        <vt:i4>132</vt:i4>
      </vt:variant>
      <vt:variant>
        <vt:i4>0</vt:i4>
      </vt:variant>
      <vt:variant>
        <vt:i4>5</vt:i4>
      </vt:variant>
      <vt:variant>
        <vt:lpwstr>https://doi.org/10.1016/j.jtbi.2006.06.014</vt:lpwstr>
      </vt:variant>
      <vt:variant>
        <vt:lpwstr/>
      </vt:variant>
      <vt:variant>
        <vt:i4>2949232</vt:i4>
      </vt:variant>
      <vt:variant>
        <vt:i4>129</vt:i4>
      </vt:variant>
      <vt:variant>
        <vt:i4>0</vt:i4>
      </vt:variant>
      <vt:variant>
        <vt:i4>5</vt:i4>
      </vt:variant>
      <vt:variant>
        <vt:lpwstr>https://doi.org/10.1186/1471-2105-7-518</vt:lpwstr>
      </vt:variant>
      <vt:variant>
        <vt:lpwstr/>
      </vt:variant>
      <vt:variant>
        <vt:i4>4653139</vt:i4>
      </vt:variant>
      <vt:variant>
        <vt:i4>126</vt:i4>
      </vt:variant>
      <vt:variant>
        <vt:i4>0</vt:i4>
      </vt:variant>
      <vt:variant>
        <vt:i4>5</vt:i4>
      </vt:variant>
      <vt:variant>
        <vt:lpwstr>https://doi.org/10.1016/j.ab.2006.07.022</vt:lpwstr>
      </vt:variant>
      <vt:variant>
        <vt:lpwstr/>
      </vt:variant>
      <vt:variant>
        <vt:i4>4063290</vt:i4>
      </vt:variant>
      <vt:variant>
        <vt:i4>123</vt:i4>
      </vt:variant>
      <vt:variant>
        <vt:i4>0</vt:i4>
      </vt:variant>
      <vt:variant>
        <vt:i4>5</vt:i4>
      </vt:variant>
      <vt:variant>
        <vt:lpwstr>https://doi.org/10.1016/j.jtbi.2006.06.025</vt:lpwstr>
      </vt:variant>
      <vt:variant>
        <vt:lpwstr/>
      </vt:variant>
      <vt:variant>
        <vt:i4>3997752</vt:i4>
      </vt:variant>
      <vt:variant>
        <vt:i4>120</vt:i4>
      </vt:variant>
      <vt:variant>
        <vt:i4>0</vt:i4>
      </vt:variant>
      <vt:variant>
        <vt:i4>5</vt:i4>
      </vt:variant>
      <vt:variant>
        <vt:lpwstr>https://doi.org/10.1016/j.jtbi.2005.05.035</vt:lpwstr>
      </vt:variant>
      <vt:variant>
        <vt:lpwstr/>
      </vt:variant>
      <vt:variant>
        <vt:i4>851994</vt:i4>
      </vt:variant>
      <vt:variant>
        <vt:i4>117</vt:i4>
      </vt:variant>
      <vt:variant>
        <vt:i4>0</vt:i4>
      </vt:variant>
      <vt:variant>
        <vt:i4>5</vt:i4>
      </vt:variant>
      <vt:variant>
        <vt:lpwstr>https://doi.org/10.1007/s10930-005-7592-4</vt:lpwstr>
      </vt:variant>
      <vt:variant>
        <vt:lpwstr/>
      </vt:variant>
      <vt:variant>
        <vt:i4>655384</vt:i4>
      </vt:variant>
      <vt:variant>
        <vt:i4>114</vt:i4>
      </vt:variant>
      <vt:variant>
        <vt:i4>0</vt:i4>
      </vt:variant>
      <vt:variant>
        <vt:i4>5</vt:i4>
      </vt:variant>
      <vt:variant>
        <vt:lpwstr>https://doi.org/10.1007/s00726-005-0206-9</vt:lpwstr>
      </vt:variant>
      <vt:variant>
        <vt:lpwstr/>
      </vt:variant>
      <vt:variant>
        <vt:i4>3866682</vt:i4>
      </vt:variant>
      <vt:variant>
        <vt:i4>111</vt:i4>
      </vt:variant>
      <vt:variant>
        <vt:i4>0</vt:i4>
      </vt:variant>
      <vt:variant>
        <vt:i4>5</vt:i4>
      </vt:variant>
      <vt:variant>
        <vt:lpwstr>https://doi.org/10.1016/j.jtbi.2004.11.017</vt:lpwstr>
      </vt:variant>
      <vt:variant>
        <vt:lpwstr/>
      </vt:variant>
      <vt:variant>
        <vt:i4>6225944</vt:i4>
      </vt:variant>
      <vt:variant>
        <vt:i4>108</vt:i4>
      </vt:variant>
      <vt:variant>
        <vt:i4>0</vt:i4>
      </vt:variant>
      <vt:variant>
        <vt:i4>5</vt:i4>
      </vt:variant>
      <vt:variant>
        <vt:lpwstr>https://doi.org/10.1021/pr0500399</vt:lpwstr>
      </vt:variant>
      <vt:variant>
        <vt:lpwstr/>
      </vt:variant>
      <vt:variant>
        <vt:i4>2162804</vt:i4>
      </vt:variant>
      <vt:variant>
        <vt:i4>105</vt:i4>
      </vt:variant>
      <vt:variant>
        <vt:i4>0</vt:i4>
      </vt:variant>
      <vt:variant>
        <vt:i4>5</vt:i4>
      </vt:variant>
      <vt:variant>
        <vt:lpwstr>https://doi.org/10.1093/protein/gzh061</vt:lpwstr>
      </vt:variant>
      <vt:variant>
        <vt:lpwstr/>
      </vt:variant>
      <vt:variant>
        <vt:i4>5701718</vt:i4>
      </vt:variant>
      <vt:variant>
        <vt:i4>102</vt:i4>
      </vt:variant>
      <vt:variant>
        <vt:i4>0</vt:i4>
      </vt:variant>
      <vt:variant>
        <vt:i4>5</vt:i4>
      </vt:variant>
      <vt:variant>
        <vt:lpwstr>https://doi.org/10.1002/jcb.10790</vt:lpwstr>
      </vt:variant>
      <vt:variant>
        <vt:lpwstr/>
      </vt:variant>
      <vt:variant>
        <vt:i4>2228286</vt:i4>
      </vt:variant>
      <vt:variant>
        <vt:i4>99</vt:i4>
      </vt:variant>
      <vt:variant>
        <vt:i4>0</vt:i4>
      </vt:variant>
      <vt:variant>
        <vt:i4>5</vt:i4>
      </vt:variant>
      <vt:variant>
        <vt:lpwstr>https://doi.org/10.1023/A:1025350409648</vt:lpwstr>
      </vt:variant>
      <vt:variant>
        <vt:lpwstr/>
      </vt:variant>
      <vt:variant>
        <vt:i4>2162793</vt:i4>
      </vt:variant>
      <vt:variant>
        <vt:i4>96</vt:i4>
      </vt:variant>
      <vt:variant>
        <vt:i4>0</vt:i4>
      </vt:variant>
      <vt:variant>
        <vt:i4>5</vt:i4>
      </vt:variant>
      <vt:variant>
        <vt:lpwstr>https://doi.org/10.1002/prot.10500</vt:lpwstr>
      </vt:variant>
      <vt:variant>
        <vt:lpwstr/>
      </vt:variant>
      <vt:variant>
        <vt:i4>1835096</vt:i4>
      </vt:variant>
      <vt:variant>
        <vt:i4>93</vt:i4>
      </vt:variant>
      <vt:variant>
        <vt:i4>0</vt:i4>
      </vt:variant>
      <vt:variant>
        <vt:i4>5</vt:i4>
      </vt:variant>
      <vt:variant>
        <vt:lpwstr>https://doi.org/10.2174/156802661604151014114030</vt:lpwstr>
      </vt:variant>
      <vt:variant>
        <vt:lpwstr/>
      </vt:variant>
      <vt:variant>
        <vt:i4>393302</vt:i4>
      </vt:variant>
      <vt:variant>
        <vt:i4>90</vt:i4>
      </vt:variant>
      <vt:variant>
        <vt:i4>0</vt:i4>
      </vt:variant>
      <vt:variant>
        <vt:i4>5</vt:i4>
      </vt:variant>
      <vt:variant>
        <vt:lpwstr>https://doi.org/10.3390/ijms15033495</vt:lpwstr>
      </vt:variant>
      <vt:variant>
        <vt:lpwstr/>
      </vt:variant>
      <vt:variant>
        <vt:i4>1769492</vt:i4>
      </vt:variant>
      <vt:variant>
        <vt:i4>87</vt:i4>
      </vt:variant>
      <vt:variant>
        <vt:i4>0</vt:i4>
      </vt:variant>
      <vt:variant>
        <vt:i4>5</vt:i4>
      </vt:variant>
      <vt:variant>
        <vt:lpwstr>https://doi.org/10.4236/jbise.2013.64054</vt:lpwstr>
      </vt:variant>
      <vt:variant>
        <vt:lpwstr/>
      </vt:variant>
      <vt:variant>
        <vt:i4>4522068</vt:i4>
      </vt:variant>
      <vt:variant>
        <vt:i4>84</vt:i4>
      </vt:variant>
      <vt:variant>
        <vt:i4>0</vt:i4>
      </vt:variant>
      <vt:variant>
        <vt:i4>5</vt:i4>
      </vt:variant>
      <vt:variant>
        <vt:lpwstr>https://doi.org/10.1016/j.ab.2012.03.015</vt:lpwstr>
      </vt:variant>
      <vt:variant>
        <vt:lpwstr/>
      </vt:variant>
      <vt:variant>
        <vt:i4>2949223</vt:i4>
      </vt:variant>
      <vt:variant>
        <vt:i4>81</vt:i4>
      </vt:variant>
      <vt:variant>
        <vt:i4>0</vt:i4>
      </vt:variant>
      <vt:variant>
        <vt:i4>5</vt:i4>
      </vt:variant>
      <vt:variant>
        <vt:lpwstr>https://doi.org/10.2174/157016409789973707</vt:lpwstr>
      </vt:variant>
      <vt:variant>
        <vt:lpwstr/>
      </vt:variant>
      <vt:variant>
        <vt:i4>4784192</vt:i4>
      </vt:variant>
      <vt:variant>
        <vt:i4>78</vt:i4>
      </vt:variant>
      <vt:variant>
        <vt:i4>0</vt:i4>
      </vt:variant>
      <vt:variant>
        <vt:i4>5</vt:i4>
      </vt:variant>
      <vt:variant>
        <vt:lpwstr>https://doi.org/10.1093/bioinformatics/bth466</vt:lpwstr>
      </vt:variant>
      <vt:variant>
        <vt:lpwstr/>
      </vt:variant>
      <vt:variant>
        <vt:i4>4390992</vt:i4>
      </vt:variant>
      <vt:variant>
        <vt:i4>75</vt:i4>
      </vt:variant>
      <vt:variant>
        <vt:i4>0</vt:i4>
      </vt:variant>
      <vt:variant>
        <vt:i4>5</vt:i4>
      </vt:variant>
      <vt:variant>
        <vt:lpwstr>https://doi.org/10.1016/j.ab.2007.07.006</vt:lpwstr>
      </vt:variant>
      <vt:variant>
        <vt:lpwstr/>
      </vt:variant>
      <vt:variant>
        <vt:i4>1048667</vt:i4>
      </vt:variant>
      <vt:variant>
        <vt:i4>72</vt:i4>
      </vt:variant>
      <vt:variant>
        <vt:i4>0</vt:i4>
      </vt:variant>
      <vt:variant>
        <vt:i4>5</vt:i4>
      </vt:variant>
      <vt:variant>
        <vt:lpwstr>https://doi.org/10.2174/1573406411666141229162834</vt:lpwstr>
      </vt:variant>
      <vt:variant>
        <vt:lpwstr/>
      </vt:variant>
      <vt:variant>
        <vt:i4>5767239</vt:i4>
      </vt:variant>
      <vt:variant>
        <vt:i4>69</vt:i4>
      </vt:variant>
      <vt:variant>
        <vt:i4>0</vt:i4>
      </vt:variant>
      <vt:variant>
        <vt:i4>5</vt:i4>
      </vt:variant>
      <vt:variant>
        <vt:lpwstr>https://doi.org/10.1093/bioinformatics/btw380</vt:lpwstr>
      </vt:variant>
      <vt:variant>
        <vt:lpwstr/>
      </vt:variant>
      <vt:variant>
        <vt:i4>3080306</vt:i4>
      </vt:variant>
      <vt:variant>
        <vt:i4>66</vt:i4>
      </vt:variant>
      <vt:variant>
        <vt:i4>0</vt:i4>
      </vt:variant>
      <vt:variant>
        <vt:i4>5</vt:i4>
      </vt:variant>
      <vt:variant>
        <vt:lpwstr>https://doi.org/10.1002/minf.201600010</vt:lpwstr>
      </vt:variant>
      <vt:variant>
        <vt:lpwstr/>
      </vt:variant>
      <vt:variant>
        <vt:i4>3997754</vt:i4>
      </vt:variant>
      <vt:variant>
        <vt:i4>63</vt:i4>
      </vt:variant>
      <vt:variant>
        <vt:i4>0</vt:i4>
      </vt:variant>
      <vt:variant>
        <vt:i4>5</vt:i4>
      </vt:variant>
      <vt:variant>
        <vt:lpwstr>https://doi.org/10.1016/j.jtbi.2016.01.020</vt:lpwstr>
      </vt:variant>
      <vt:variant>
        <vt:lpwstr/>
      </vt:variant>
      <vt:variant>
        <vt:i4>4718675</vt:i4>
      </vt:variant>
      <vt:variant>
        <vt:i4>60</vt:i4>
      </vt:variant>
      <vt:variant>
        <vt:i4>0</vt:i4>
      </vt:variant>
      <vt:variant>
        <vt:i4>5</vt:i4>
      </vt:variant>
      <vt:variant>
        <vt:lpwstr>https://doi.org/10.1016/j.ab.2015.12.009</vt:lpwstr>
      </vt:variant>
      <vt:variant>
        <vt:lpwstr/>
      </vt:variant>
      <vt:variant>
        <vt:i4>3735610</vt:i4>
      </vt:variant>
      <vt:variant>
        <vt:i4>57</vt:i4>
      </vt:variant>
      <vt:variant>
        <vt:i4>0</vt:i4>
      </vt:variant>
      <vt:variant>
        <vt:i4>5</vt:i4>
      </vt:variant>
      <vt:variant>
        <vt:lpwstr>https://doi.org/10.1016/j.jtbi.2015.04.011</vt:lpwstr>
      </vt:variant>
      <vt:variant>
        <vt:lpwstr/>
      </vt:variant>
      <vt:variant>
        <vt:i4>3866684</vt:i4>
      </vt:variant>
      <vt:variant>
        <vt:i4>54</vt:i4>
      </vt:variant>
      <vt:variant>
        <vt:i4>0</vt:i4>
      </vt:variant>
      <vt:variant>
        <vt:i4>5</vt:i4>
      </vt:variant>
      <vt:variant>
        <vt:lpwstr>https://doi.org/10.1016/j.jtbi.2010.10.037</vt:lpwstr>
      </vt:variant>
      <vt:variant>
        <vt:lpwstr/>
      </vt:variant>
      <vt:variant>
        <vt:i4>4849732</vt:i4>
      </vt:variant>
      <vt:variant>
        <vt:i4>51</vt:i4>
      </vt:variant>
      <vt:variant>
        <vt:i4>0</vt:i4>
      </vt:variant>
      <vt:variant>
        <vt:i4>5</vt:i4>
      </vt:variant>
      <vt:variant>
        <vt:lpwstr>https://doi.org/10.1093/bioinformatics/bth054</vt:lpwstr>
      </vt:variant>
      <vt:variant>
        <vt:lpwstr/>
      </vt:variant>
      <vt:variant>
        <vt:i4>5439553</vt:i4>
      </vt:variant>
      <vt:variant>
        <vt:i4>48</vt:i4>
      </vt:variant>
      <vt:variant>
        <vt:i4>0</vt:i4>
      </vt:variant>
      <vt:variant>
        <vt:i4>5</vt:i4>
      </vt:variant>
      <vt:variant>
        <vt:lpwstr>https://doi.org/10.1093/bioinformatics/btw539</vt:lpwstr>
      </vt:variant>
      <vt:variant>
        <vt:lpwstr/>
      </vt:variant>
      <vt:variant>
        <vt:i4>5308482</vt:i4>
      </vt:variant>
      <vt:variant>
        <vt:i4>45</vt:i4>
      </vt:variant>
      <vt:variant>
        <vt:i4>0</vt:i4>
      </vt:variant>
      <vt:variant>
        <vt:i4>5</vt:i4>
      </vt:variant>
      <vt:variant>
        <vt:lpwstr>https://doi.org/10.1093/bioinformatics/btv604</vt:lpwstr>
      </vt:variant>
      <vt:variant>
        <vt:lpwstr/>
      </vt:variant>
      <vt:variant>
        <vt:i4>852039</vt:i4>
      </vt:variant>
      <vt:variant>
        <vt:i4>42</vt:i4>
      </vt:variant>
      <vt:variant>
        <vt:i4>0</vt:i4>
      </vt:variant>
      <vt:variant>
        <vt:i4>5</vt:i4>
      </vt:variant>
      <vt:variant>
        <vt:lpwstr>https://doi.org/10.1080/07391102.2015.1014422</vt:lpwstr>
      </vt:variant>
      <vt:variant>
        <vt:lpwstr/>
      </vt:variant>
      <vt:variant>
        <vt:i4>3211321</vt:i4>
      </vt:variant>
      <vt:variant>
        <vt:i4>39</vt:i4>
      </vt:variant>
      <vt:variant>
        <vt:i4>0</vt:i4>
      </vt:variant>
      <vt:variant>
        <vt:i4>5</vt:i4>
      </vt:variant>
      <vt:variant>
        <vt:lpwstr>https://doi.org/10.1016/j.jtbi.2015.08.025</vt:lpwstr>
      </vt:variant>
      <vt:variant>
        <vt:lpwstr/>
      </vt:variant>
      <vt:variant>
        <vt:i4>5439555</vt:i4>
      </vt:variant>
      <vt:variant>
        <vt:i4>36</vt:i4>
      </vt:variant>
      <vt:variant>
        <vt:i4>0</vt:i4>
      </vt:variant>
      <vt:variant>
        <vt:i4>5</vt:i4>
      </vt:variant>
      <vt:variant>
        <vt:lpwstr>https://doi.org/10.1093/bioinformatics/btt709</vt:lpwstr>
      </vt:variant>
      <vt:variant>
        <vt:lpwstr/>
      </vt:variant>
      <vt:variant>
        <vt:i4>1245252</vt:i4>
      </vt:variant>
      <vt:variant>
        <vt:i4>33</vt:i4>
      </vt:variant>
      <vt:variant>
        <vt:i4>0</vt:i4>
      </vt:variant>
      <vt:variant>
        <vt:i4>5</vt:i4>
      </vt:variant>
      <vt:variant>
        <vt:lpwstr>https://doi.org/10.1038/srep32333</vt:lpwstr>
      </vt:variant>
      <vt:variant>
        <vt:lpwstr/>
      </vt:variant>
      <vt:variant>
        <vt:i4>5111875</vt:i4>
      </vt:variant>
      <vt:variant>
        <vt:i4>30</vt:i4>
      </vt:variant>
      <vt:variant>
        <vt:i4>0</vt:i4>
      </vt:variant>
      <vt:variant>
        <vt:i4>5</vt:i4>
      </vt:variant>
      <vt:variant>
        <vt:lpwstr>https://doi.org/10.1371/journal.pone.0030869</vt:lpwstr>
      </vt:variant>
      <vt:variant>
        <vt:lpwstr/>
      </vt:variant>
      <vt:variant>
        <vt:i4>3866725</vt:i4>
      </vt:variant>
      <vt:variant>
        <vt:i4>27</vt:i4>
      </vt:variant>
      <vt:variant>
        <vt:i4>0</vt:i4>
      </vt:variant>
      <vt:variant>
        <vt:i4>5</vt:i4>
      </vt:variant>
      <vt:variant>
        <vt:lpwstr>https://doi.org/10.1093/nar/gks1450</vt:lpwstr>
      </vt:variant>
      <vt:variant>
        <vt:lpwstr/>
      </vt:variant>
      <vt:variant>
        <vt:i4>4325462</vt:i4>
      </vt:variant>
      <vt:variant>
        <vt:i4>24</vt:i4>
      </vt:variant>
      <vt:variant>
        <vt:i4>0</vt:i4>
      </vt:variant>
      <vt:variant>
        <vt:i4>5</vt:i4>
      </vt:variant>
      <vt:variant>
        <vt:lpwstr>https://doi.org/10.1016/j.ab.2013.05.024</vt:lpwstr>
      </vt:variant>
      <vt:variant>
        <vt:lpwstr/>
      </vt:variant>
      <vt:variant>
        <vt:i4>3014771</vt:i4>
      </vt:variant>
      <vt:variant>
        <vt:i4>21</vt:i4>
      </vt:variant>
      <vt:variant>
        <vt:i4>0</vt:i4>
      </vt:variant>
      <vt:variant>
        <vt:i4>5</vt:i4>
      </vt:variant>
      <vt:variant>
        <vt:lpwstr>https://doi.org/10.1006/jtbi.1995.0254</vt:lpwstr>
      </vt:variant>
      <vt:variant>
        <vt:lpwstr/>
      </vt:variant>
      <vt:variant>
        <vt:i4>3342448</vt:i4>
      </vt:variant>
      <vt:variant>
        <vt:i4>18</vt:i4>
      </vt:variant>
      <vt:variant>
        <vt:i4>0</vt:i4>
      </vt:variant>
      <vt:variant>
        <vt:i4>5</vt:i4>
      </vt:variant>
      <vt:variant>
        <vt:lpwstr>https://doi.org/10.1006/abio.1998.2992</vt:lpwstr>
      </vt:variant>
      <vt:variant>
        <vt:lpwstr/>
      </vt:variant>
      <vt:variant>
        <vt:i4>2228260</vt:i4>
      </vt:variant>
      <vt:variant>
        <vt:i4>15</vt:i4>
      </vt:variant>
      <vt:variant>
        <vt:i4>0</vt:i4>
      </vt:variant>
      <vt:variant>
        <vt:i4>5</vt:i4>
      </vt:variant>
      <vt:variant>
        <vt:lpwstr>https://doi.org/10.1016/j.bbrc.2005.06.075</vt:lpwstr>
      </vt:variant>
      <vt:variant>
        <vt:lpwstr/>
      </vt:variant>
      <vt:variant>
        <vt:i4>37</vt:i4>
      </vt:variant>
      <vt:variant>
        <vt:i4>12</vt:i4>
      </vt:variant>
      <vt:variant>
        <vt:i4>0</vt:i4>
      </vt:variant>
      <vt:variant>
        <vt:i4>5</vt:i4>
      </vt:variant>
      <vt:variant>
        <vt:lpwstr>http://bioinformatics.hitsz.edu.cn/Pse-in-One2.0/static/download/Pse-in-One 2.0_manual.pdf</vt:lpwstr>
      </vt:variant>
      <vt:variant>
        <vt:lpwstr/>
      </vt:variant>
      <vt:variant>
        <vt:i4>5242991</vt:i4>
      </vt:variant>
      <vt:variant>
        <vt:i4>9</vt:i4>
      </vt:variant>
      <vt:variant>
        <vt:i4>0</vt:i4>
      </vt:variant>
      <vt:variant>
        <vt:i4>5</vt:i4>
      </vt:variant>
      <vt:variant>
        <vt:lpwstr>http://bioinformatics.hitsz.edu.cn/Pse-in-One2.0/static/download/Pse-in-One 2.0_description.pdf</vt:lpwstr>
      </vt:variant>
      <vt:variant>
        <vt:lpwstr/>
      </vt:variant>
      <vt:variant>
        <vt:i4>3276915</vt:i4>
      </vt:variant>
      <vt:variant>
        <vt:i4>6</vt:i4>
      </vt:variant>
      <vt:variant>
        <vt:i4>0</vt:i4>
      </vt:variant>
      <vt:variant>
        <vt:i4>5</vt:i4>
      </vt:variant>
      <vt:variant>
        <vt:lpwstr/>
      </vt:variant>
      <vt:variant>
        <vt:lpwstr>s2</vt:lpwstr>
      </vt:variant>
      <vt:variant>
        <vt:i4>3211379</vt:i4>
      </vt:variant>
      <vt:variant>
        <vt:i4>3</vt:i4>
      </vt:variant>
      <vt:variant>
        <vt:i4>0</vt:i4>
      </vt:variant>
      <vt:variant>
        <vt:i4>5</vt:i4>
      </vt:variant>
      <vt:variant>
        <vt:lpwstr/>
      </vt:variant>
      <vt:variant>
        <vt:lpwstr>s1</vt:lpwstr>
      </vt:variant>
      <vt:variant>
        <vt:i4>6160456</vt:i4>
      </vt:variant>
      <vt:variant>
        <vt:i4>0</vt:i4>
      </vt:variant>
      <vt:variant>
        <vt:i4>0</vt:i4>
      </vt:variant>
      <vt:variant>
        <vt:i4>5</vt:i4>
      </vt:variant>
      <vt:variant>
        <vt:lpwstr>http://bioinformatics.hitsz.edu.cn/Pse-in-One2.0/</vt:lpwstr>
      </vt:variant>
      <vt:variant>
        <vt:lpwstr/>
      </vt:variant>
      <vt:variant>
        <vt:i4>3932275</vt:i4>
      </vt:variant>
      <vt:variant>
        <vt:i4>9</vt:i4>
      </vt:variant>
      <vt:variant>
        <vt:i4>0</vt:i4>
      </vt:variant>
      <vt:variant>
        <vt:i4>5</vt:i4>
      </vt:variant>
      <vt:variant>
        <vt:lpwstr>https://doi.org/10.4236/***.2017.*****</vt:lpwstr>
      </vt:variant>
      <vt:variant>
        <vt:lpwstr/>
      </vt:variant>
      <vt:variant>
        <vt:i4>3801185</vt:i4>
      </vt:variant>
      <vt:variant>
        <vt:i4>6</vt:i4>
      </vt:variant>
      <vt:variant>
        <vt:i4>0</vt:i4>
      </vt:variant>
      <vt:variant>
        <vt:i4>5</vt:i4>
      </vt:variant>
      <vt:variant>
        <vt:lpwstr>http://www.scirp.org/journal/ns</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3932275</vt:i4>
      </vt:variant>
      <vt:variant>
        <vt:i4>0</vt:i4>
      </vt:variant>
      <vt:variant>
        <vt:i4>0</vt:i4>
      </vt:variant>
      <vt:variant>
        <vt:i4>5</vt:i4>
      </vt:variant>
      <vt:variant>
        <vt:lpwstr>https://doi.org/10.4236/***.2017.*****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Science, 2017</dc:title>
  <dc:creator>test</dc:creator>
  <cp:lastModifiedBy>xin xiong</cp:lastModifiedBy>
  <cp:revision>67</cp:revision>
  <cp:lastPrinted>2017-04-17T03:43:00Z</cp:lastPrinted>
  <dcterms:created xsi:type="dcterms:W3CDTF">2017-04-19T04:09:00Z</dcterms:created>
  <dcterms:modified xsi:type="dcterms:W3CDTF">2025-11-17T06:49:00Z</dcterms:modified>
</cp:coreProperties>
</file>